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A0C5" w14:textId="2B64381F" w:rsidR="00E95831" w:rsidRDefault="00E95831" w:rsidP="00E95831">
      <w:pPr>
        <w:pStyle w:val="Titre1"/>
        <w:spacing w:line="240" w:lineRule="auto"/>
        <w:jc w:val="both"/>
      </w:pPr>
      <w:r>
        <w:t>Supplementary Material</w:t>
      </w:r>
    </w:p>
    <w:p w14:paraId="025A1CD5" w14:textId="4B854450" w:rsidR="00992F22" w:rsidRPr="00992F22" w:rsidRDefault="00992F22" w:rsidP="00992F22">
      <w:pPr>
        <w:rPr>
          <w:sz w:val="24"/>
          <w:u w:val="single"/>
          <w:lang w:val="en-US"/>
        </w:rPr>
      </w:pPr>
      <w:r w:rsidRPr="00992F22">
        <w:rPr>
          <w:sz w:val="24"/>
          <w:u w:val="single"/>
          <w:lang w:val="en-US"/>
        </w:rPr>
        <w:t>Supplementary Tables</w:t>
      </w:r>
      <w:bookmarkStart w:id="0" w:name="_GoBack"/>
      <w:bookmarkEnd w:id="0"/>
    </w:p>
    <w:p w14:paraId="1F2DA9A4" w14:textId="1AEFAA75" w:rsidR="00E95831" w:rsidRPr="00F24D86" w:rsidRDefault="00E95831" w:rsidP="00E95831">
      <w:pPr>
        <w:rPr>
          <w:sz w:val="18"/>
          <w:lang w:val="en-US"/>
        </w:rPr>
      </w:pPr>
      <w:r w:rsidRPr="00F24D86">
        <w:rPr>
          <w:sz w:val="18"/>
          <w:lang w:val="en-US"/>
        </w:rPr>
        <w:t>Supplementary Table 1. Change of number of OTUs, change of Chao1 index, Bray-Curtis dissimilarity and weighted UniFrac distances between D</w:t>
      </w:r>
      <w:r w:rsidRPr="00F24D86">
        <w:rPr>
          <w:sz w:val="18"/>
          <w:vertAlign w:val="subscript"/>
          <w:lang w:val="en-US"/>
        </w:rPr>
        <w:t>0</w:t>
      </w:r>
      <w:r w:rsidRPr="00F24D86">
        <w:rPr>
          <w:sz w:val="18"/>
          <w:lang w:val="en-US"/>
        </w:rPr>
        <w:t xml:space="preserve"> and D</w:t>
      </w:r>
      <w:r w:rsidRPr="00F24D86">
        <w:rPr>
          <w:sz w:val="18"/>
          <w:vertAlign w:val="subscript"/>
          <w:lang w:val="en-US"/>
        </w:rPr>
        <w:t>3</w:t>
      </w:r>
      <w:r w:rsidRPr="00F24D86">
        <w:rPr>
          <w:sz w:val="18"/>
          <w:lang w:val="en-US"/>
        </w:rPr>
        <w:t xml:space="preserve"> according to </w:t>
      </w:r>
      <w:r w:rsidR="00F24D86" w:rsidRPr="00F24D86">
        <w:rPr>
          <w:sz w:val="18"/>
          <w:lang w:val="en-US"/>
        </w:rPr>
        <w:t xml:space="preserve">treatment </w:t>
      </w:r>
      <w:r w:rsidRPr="00F24D86">
        <w:rPr>
          <w:sz w:val="18"/>
          <w:lang w:val="en-US"/>
        </w:rPr>
        <w:t xml:space="preserve">groups in the moxifloxacin and clindamycin studies. </w:t>
      </w:r>
      <w:r w:rsidR="00AF3B1C" w:rsidRPr="00F24D86">
        <w:rPr>
          <w:color w:val="000000" w:themeColor="text1"/>
          <w:sz w:val="18"/>
          <w:lang w:val="en-US"/>
        </w:rPr>
        <w:t>q-values refer to the comparison of the corresponding treatment group with the antibiotic + DAV131A placebo treatment group, after Benjamini-Hochberg correction. The p-values for the comparison of all treatment groups are reported in the “All groups” line. In the analysis of concentrations, only antibiotic-treated groups were included.</w:t>
      </w:r>
      <w:r w:rsidR="00AF3B1C" w:rsidRPr="00F24D86">
        <w:rPr>
          <w:i/>
          <w:color w:val="000000" w:themeColor="text1"/>
          <w:sz w:val="18"/>
          <w:lang w:val="en-US"/>
        </w:rPr>
        <w:t xml:space="preserve"> </w:t>
      </w:r>
      <w:r w:rsidRPr="00F24D86">
        <w:rPr>
          <w:sz w:val="18"/>
          <w:lang w:val="en-US"/>
        </w:rPr>
        <w:t xml:space="preserve">Data are presented as n (%) or median (min; max) as appropriate. </w:t>
      </w:r>
    </w:p>
    <w:tbl>
      <w:tblPr>
        <w:tblW w:w="11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13"/>
        <w:gridCol w:w="1857"/>
        <w:gridCol w:w="823"/>
        <w:gridCol w:w="1779"/>
        <w:gridCol w:w="787"/>
        <w:gridCol w:w="1426"/>
        <w:gridCol w:w="823"/>
        <w:gridCol w:w="1610"/>
        <w:gridCol w:w="823"/>
      </w:tblGrid>
      <w:tr w:rsidR="00E95831" w:rsidRPr="00E95831" w14:paraId="430A08F1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6F63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Treatment group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F493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093CC" w14:textId="77777777" w:rsid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n-US" w:eastAsia="fr-FR"/>
              </w:rPr>
              <w:t>Change of</w:t>
            </w:r>
          </w:p>
          <w:p w14:paraId="2B8851D1" w14:textId="6444DE1F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n-US"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n-US" w:eastAsia="fr-FR"/>
              </w:rPr>
              <w:t>number of OTUs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7976B" w14:textId="28F876D4" w:rsidR="00E95831" w:rsidRPr="00E95831" w:rsidRDefault="00AF3B1C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q</w:t>
            </w:r>
            <w:r w:rsidR="00E95831"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-value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E74FD" w14:textId="77777777" w:rsid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Change of</w:t>
            </w:r>
          </w:p>
          <w:p w14:paraId="4938AB34" w14:textId="01608556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Chao-1 index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CC0BC" w14:textId="0819A9BC" w:rsidR="00E95831" w:rsidRPr="00E95831" w:rsidRDefault="00AF3B1C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q</w:t>
            </w:r>
            <w:r w:rsidR="00E95831"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-value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C8068" w14:textId="77777777" w:rsid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Bray-Curtis</w:t>
            </w:r>
          </w:p>
          <w:p w14:paraId="6A4AB3C7" w14:textId="438B55B4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dissimilarity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FBE12" w14:textId="34503869" w:rsidR="00E95831" w:rsidRPr="00E95831" w:rsidRDefault="00AF3B1C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q</w:t>
            </w:r>
            <w:r w:rsidR="00E95831"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-value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9788D" w14:textId="77777777" w:rsidR="00992F22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Weighted UniFrac</w:t>
            </w:r>
          </w:p>
          <w:p w14:paraId="788B9E24" w14:textId="798BCCAF" w:rsidR="00E95831" w:rsidRPr="00E95831" w:rsidRDefault="00992F22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distance</w:t>
            </w:r>
            <w:r w:rsidR="00E95831"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EB09C" w14:textId="61A9A4B0" w:rsidR="00E95831" w:rsidRPr="00E95831" w:rsidRDefault="00AF3B1C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q</w:t>
            </w:r>
            <w:r w:rsidR="00E95831"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-value</w:t>
            </w:r>
          </w:p>
        </w:tc>
      </w:tr>
      <w:tr w:rsidR="00E95831" w:rsidRPr="00E95831" w14:paraId="45B655B6" w14:textId="77777777" w:rsidTr="00E95831">
        <w:trPr>
          <w:trHeight w:val="20"/>
          <w:jc w:val="center"/>
        </w:trPr>
        <w:tc>
          <w:tcPr>
            <w:tcW w:w="118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EF32" w14:textId="0632F040" w:rsidR="00E95831" w:rsidRPr="00E95831" w:rsidRDefault="00E95831" w:rsidP="00E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Moxifloxacin</w:t>
            </w:r>
          </w:p>
        </w:tc>
      </w:tr>
      <w:tr w:rsidR="00E95831" w:rsidRPr="00E95831" w14:paraId="71D7458B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0D64" w14:textId="6ABC556D" w:rsidR="00E95831" w:rsidRPr="00E95831" w:rsidRDefault="00BD27C5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controls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B33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D81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-5.75 (-97.6; 183.5)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AA0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50F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-4.1 (-107.0; 190.1)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264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C9D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0.34 (0.28; 0.88)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FDD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F8D2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0.14 (0.08; 0.48)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451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</w:tr>
      <w:tr w:rsidR="00E95831" w:rsidRPr="00E95831" w14:paraId="29603CAA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7CB" w14:textId="5B9D791C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MXF/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522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823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-135.85 (-207.3; -52.2)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BFA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B95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-137.9 (-213.4; -46.2)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387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2DF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0.78 (0.63; 0.86)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EC1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115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0.33 (0.24; 0.48)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E82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</w:tr>
      <w:tr w:rsidR="00E95831" w:rsidRPr="00E95831" w14:paraId="2685829B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1734" w14:textId="0E581E0E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MXF/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10B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FD6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-89.75 (-201; 74.5)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0AB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0.044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23F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-99.7 (-229.3; 83.5)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6D8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0.091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B40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0.70 (0.57; 0.87)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181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0.0062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73F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0.31 (0.20; 0.57)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5CC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0.53</w:t>
            </w:r>
          </w:p>
        </w:tc>
      </w:tr>
      <w:tr w:rsidR="00E95831" w:rsidRPr="00E95831" w14:paraId="218971E7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4A40" w14:textId="5525CFBA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MXF/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603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748B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-65.15 (-131.8; 63.8)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E78B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0.0036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7A52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-70.7 (-140.1; 75.0)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3F7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30A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0.56 (0.35; 0.72)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B66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AD0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0.24 (0.14; 0.40)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483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0.011</w:t>
            </w:r>
          </w:p>
        </w:tc>
      </w:tr>
      <w:tr w:rsidR="00E95831" w:rsidRPr="00E95831" w14:paraId="31C26B64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7CAA" w14:textId="6142BDEB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MXF/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600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661E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5702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-65.5 (-129.1; -2.1)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A8D7E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0.0069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E33B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-66.6 (-141.0; -0.8)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31B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06E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0.57 (0.41; 0.72)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D7E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0.00017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986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0.25 (0.15; 0.38)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AA8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0.1</w:t>
            </w:r>
          </w:p>
        </w:tc>
      </w:tr>
      <w:tr w:rsidR="00E95831" w:rsidRPr="00E95831" w14:paraId="12CA1044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AD87" w14:textId="2E82780F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MXF/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900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D17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59C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-58.05 (-131.5; -7.4)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68C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0.0056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B42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-53.2 (-147.3; 6.0)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995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0.0091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19B2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0.47 (0.31; 0.67)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68D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4CF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0.22 (0.13; 0.36)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4F8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0.011</w:t>
            </w:r>
          </w:p>
        </w:tc>
      </w:tr>
      <w:tr w:rsidR="00E95831" w:rsidRPr="00E95831" w14:paraId="7403650B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C97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All groups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75A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80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741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-72.9 (-207.3; 183.5)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69D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AAD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-75.5 (-229.3; 190.1)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656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DB5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0.61 (0.28; 0.88)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832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544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0.26 (0.08; 0.57)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D00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0.00028</w:t>
            </w:r>
          </w:p>
        </w:tc>
      </w:tr>
      <w:tr w:rsidR="00E95831" w:rsidRPr="00E95831" w14:paraId="0C2E24DF" w14:textId="77777777" w:rsidTr="00E95831">
        <w:trPr>
          <w:trHeight w:val="20"/>
          <w:jc w:val="center"/>
        </w:trPr>
        <w:tc>
          <w:tcPr>
            <w:tcW w:w="118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428E" w14:textId="77777777" w:rsidR="00E95831" w:rsidRPr="00E95831" w:rsidRDefault="00E95831" w:rsidP="00E95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Clindamycin</w:t>
            </w:r>
          </w:p>
        </w:tc>
      </w:tr>
      <w:tr w:rsidR="00E95831" w:rsidRPr="00E95831" w14:paraId="3AD453AB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25F9" w14:textId="74F0FBFA" w:rsidR="00E95831" w:rsidRPr="00E95831" w:rsidRDefault="00BD27C5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controls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ACAE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664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24.7 (-2.1; 62.9)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8E2E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533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27.1 (-3.0; 71.9)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B93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968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0.38 (0.24; 0.45)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66B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032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0.15 (0.09; 0.24)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8B8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</w:tr>
      <w:tr w:rsidR="00E95831" w:rsidRPr="00E95831" w14:paraId="67F9E9F0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A59A" w14:textId="195123DB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CLI/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070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313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-270.1 (-344.6; -220.0)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FCFB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DA6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-274.0; -358.2; -218.7)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E07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660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0.96 (0.87; 0.98)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1AF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2A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0.60 (0.41; 0.62)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CD8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</w:t>
            </w:r>
          </w:p>
        </w:tc>
      </w:tr>
      <w:tr w:rsidR="00E95831" w:rsidRPr="00E95831" w14:paraId="0C28BE81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83BC" w14:textId="7353EBBD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CLI/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C48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156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-195.5 (-242.6; -129.1)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36B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0.00073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D9D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-201.3 (-252.7; -127.8)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819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0.0029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29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0.86 (0.71; 0.88)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E4D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EBF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0.41 (0.36; 0.59)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61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0.00073</w:t>
            </w:r>
          </w:p>
        </w:tc>
      </w:tr>
      <w:tr w:rsidR="00E95831" w:rsidRPr="00E95831" w14:paraId="0476C1B5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0ECB" w14:textId="4BF56F55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CLI/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450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1308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858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-137.1; -227.7; -87.3)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5C8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111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-137.6 (-236.7; -90.0)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70C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5352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0.83 (0.80; 0.85)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59C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7A0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0.40 (0.35; 0.45)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03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0.00016</w:t>
            </w:r>
          </w:p>
        </w:tc>
      </w:tr>
      <w:tr w:rsidR="00E95831" w:rsidRPr="00E95831" w14:paraId="13C90361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F3AD" w14:textId="6317B3F4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CLI/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600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132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C12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-99.6 (-186.7; -33.6)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6E1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DED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-102.6 (-191.6; -34.3)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B56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D4FC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0.76 (0.66; 0.79)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9399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47E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0.30 (0.24; 0.35)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7AE8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</w:tr>
      <w:tr w:rsidR="00E95831" w:rsidRPr="00E95831" w14:paraId="38EEB678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65B3" w14:textId="6065E35A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CLI/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461E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A85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-96.1 (-159.1; -22.0)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06D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30A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-98.1 (-170.6; -22.7)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92F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0A3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0.70 (0.63; 0.74)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AD6E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0E3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0.28 (0.26; 0.39)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D86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</w:tr>
      <w:tr w:rsidR="00E95831" w:rsidRPr="00E95831" w14:paraId="4234F851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E546" w14:textId="2A78DD32" w:rsidR="00E95831" w:rsidRPr="00E95831" w:rsidRDefault="00F0518A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CLI/</w:t>
            </w:r>
            <w:r w:rsidR="00E95831"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900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737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74B2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-107.8 (159.5; -35.1)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7E7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B49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-116.1 (-163.3; -38.7)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7FD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081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0.67 (0.61; 0.75)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270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045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0.30 (0.24; 0.34)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AADF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-4</w:t>
            </w:r>
          </w:p>
        </w:tc>
      </w:tr>
      <w:tr w:rsidR="00E95831" w:rsidRPr="00E95831" w14:paraId="6AF9FF76" w14:textId="77777777" w:rsidTr="00E95831">
        <w:trPr>
          <w:trHeight w:val="20"/>
          <w:jc w:val="center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703F6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All groups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FA140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9E685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-129.1 (-344.6; 62.9)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671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8B10D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-132.8 (-358.2; 71.9)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1571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621A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0.75 (0.24; 0.98)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2EF4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0043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0.34 (0.09; 0.62)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0D7F7" w14:textId="77777777" w:rsidR="00E95831" w:rsidRPr="00E95831" w:rsidRDefault="00E95831" w:rsidP="00E95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&lt;10</w:t>
            </w:r>
            <w:r w:rsidRPr="00E95831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fr-FR"/>
              </w:rPr>
              <w:t>-9</w:t>
            </w:r>
          </w:p>
        </w:tc>
      </w:tr>
    </w:tbl>
    <w:p w14:paraId="1B1E28F4" w14:textId="08E54F01" w:rsidR="00E95831" w:rsidRDefault="00E95831">
      <w:pPr>
        <w:rPr>
          <w:rFonts w:eastAsiaTheme="majorEastAsia" w:cstheme="majorBidi"/>
          <w:b/>
          <w:color w:val="000000" w:themeColor="text1"/>
          <w:sz w:val="28"/>
          <w:szCs w:val="32"/>
          <w:lang w:val="en-US"/>
        </w:rPr>
      </w:pPr>
    </w:p>
    <w:p w14:paraId="57108D6F" w14:textId="77777777" w:rsidR="001959C0" w:rsidRDefault="001959C0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p w14:paraId="5D9A8456" w14:textId="78971514" w:rsidR="00992F22" w:rsidRPr="00F24D86" w:rsidRDefault="00992F22" w:rsidP="00907384">
      <w:pPr>
        <w:rPr>
          <w:sz w:val="18"/>
          <w:lang w:val="en-US"/>
        </w:rPr>
      </w:pPr>
      <w:r w:rsidRPr="00F24D86">
        <w:rPr>
          <w:sz w:val="18"/>
          <w:lang w:val="en-US"/>
        </w:rPr>
        <w:lastRenderedPageBreak/>
        <w:t xml:space="preserve">Supplementary Table 2. Spearman rank correlation coefficient between </w:t>
      </w:r>
      <w:r w:rsidR="00907384" w:rsidRPr="00F24D86">
        <w:rPr>
          <w:sz w:val="18"/>
          <w:lang w:val="en-US"/>
        </w:rPr>
        <w:t xml:space="preserve">the fecal concentration of </w:t>
      </w:r>
      <w:r w:rsidR="00612FD7">
        <w:rPr>
          <w:sz w:val="18"/>
          <w:lang w:val="en-US"/>
        </w:rPr>
        <w:t>active</w:t>
      </w:r>
      <w:r w:rsidR="00907384" w:rsidRPr="00F24D86">
        <w:rPr>
          <w:sz w:val="18"/>
          <w:lang w:val="en-US"/>
        </w:rPr>
        <w:t xml:space="preserve"> antibiotic</w:t>
      </w:r>
      <w:r w:rsidR="00F0518A">
        <w:rPr>
          <w:sz w:val="18"/>
          <w:lang w:val="en-US"/>
        </w:rPr>
        <w:t xml:space="preserve"> and</w:t>
      </w:r>
      <w:r w:rsidR="00F24D86">
        <w:rPr>
          <w:sz w:val="18"/>
          <w:lang w:val="en-US"/>
        </w:rPr>
        <w:t xml:space="preserve"> </w:t>
      </w:r>
      <w:r w:rsidRPr="00F24D86">
        <w:rPr>
          <w:sz w:val="18"/>
          <w:lang w:val="en-US"/>
        </w:rPr>
        <w:t xml:space="preserve">the change of number of OTUs, </w:t>
      </w:r>
      <w:r w:rsidR="00F24D86">
        <w:rPr>
          <w:sz w:val="18"/>
          <w:lang w:val="en-US"/>
        </w:rPr>
        <w:t xml:space="preserve">the </w:t>
      </w:r>
      <w:r w:rsidRPr="00F24D86">
        <w:rPr>
          <w:sz w:val="18"/>
          <w:lang w:val="en-US"/>
        </w:rPr>
        <w:t xml:space="preserve">change of Chao1 index, </w:t>
      </w:r>
      <w:r w:rsidR="00F24D86">
        <w:rPr>
          <w:sz w:val="18"/>
          <w:lang w:val="en-US"/>
        </w:rPr>
        <w:t xml:space="preserve">the </w:t>
      </w:r>
      <w:r w:rsidRPr="00F24D86">
        <w:rPr>
          <w:sz w:val="18"/>
          <w:lang w:val="en-US"/>
        </w:rPr>
        <w:t xml:space="preserve">Bray-Curtis dissimilarity </w:t>
      </w:r>
      <w:r w:rsidR="00F0518A">
        <w:rPr>
          <w:sz w:val="18"/>
          <w:lang w:val="en-US"/>
        </w:rPr>
        <w:t>or</w:t>
      </w:r>
      <w:r w:rsidRPr="00F24D86">
        <w:rPr>
          <w:sz w:val="18"/>
          <w:lang w:val="en-US"/>
        </w:rPr>
        <w:t xml:space="preserve"> </w:t>
      </w:r>
      <w:r w:rsidR="00F24D86">
        <w:rPr>
          <w:sz w:val="18"/>
          <w:lang w:val="en-US"/>
        </w:rPr>
        <w:t xml:space="preserve">the </w:t>
      </w:r>
      <w:r w:rsidRPr="00F24D86">
        <w:rPr>
          <w:sz w:val="18"/>
          <w:lang w:val="en-US"/>
        </w:rPr>
        <w:t>weighted UniFrac distances between D</w:t>
      </w:r>
      <w:r w:rsidRPr="00F24D86">
        <w:rPr>
          <w:sz w:val="18"/>
          <w:vertAlign w:val="subscript"/>
          <w:lang w:val="en-US"/>
        </w:rPr>
        <w:t>0</w:t>
      </w:r>
      <w:r w:rsidRPr="00F24D86">
        <w:rPr>
          <w:sz w:val="18"/>
          <w:lang w:val="en-US"/>
        </w:rPr>
        <w:t xml:space="preserve"> and D</w:t>
      </w:r>
      <w:r w:rsidRPr="00F24D86">
        <w:rPr>
          <w:sz w:val="18"/>
          <w:vertAlign w:val="subscript"/>
          <w:lang w:val="en-US"/>
        </w:rPr>
        <w:t>3</w:t>
      </w:r>
      <w:r w:rsidR="00907384">
        <w:rPr>
          <w:sz w:val="18"/>
          <w:lang w:val="en-US"/>
        </w:rPr>
        <w:t>,</w:t>
      </w:r>
      <w:r w:rsidR="00FE4004">
        <w:rPr>
          <w:sz w:val="18"/>
          <w:lang w:val="en-US"/>
        </w:rPr>
        <w:t xml:space="preserve"> i</w:t>
      </w:r>
      <w:r w:rsidR="00F24D86">
        <w:rPr>
          <w:sz w:val="18"/>
          <w:lang w:val="en-US"/>
        </w:rPr>
        <w:t>n antibiotic-treated hamsters of the 2 studies</w:t>
      </w:r>
      <w:r w:rsidRPr="00F24D86">
        <w:rPr>
          <w:sz w:val="18"/>
          <w:lang w:val="en-US"/>
        </w:rPr>
        <w:t>.</w:t>
      </w:r>
      <w:r w:rsidR="00097119" w:rsidRPr="00F24D86">
        <w:rPr>
          <w:sz w:val="18"/>
          <w:lang w:val="en-US"/>
        </w:rPr>
        <w:t xml:space="preserve"> </w:t>
      </w:r>
      <w:r w:rsidR="00907384">
        <w:rPr>
          <w:sz w:val="18"/>
          <w:lang w:val="en-US"/>
        </w:rPr>
        <w:t>p</w:t>
      </w:r>
      <w:r w:rsidR="00097119" w:rsidRPr="00F24D86">
        <w:rPr>
          <w:sz w:val="18"/>
          <w:lang w:val="en-US"/>
        </w:rPr>
        <w:t xml:space="preserve">-values </w:t>
      </w:r>
      <w:r w:rsidR="00FE4004">
        <w:rPr>
          <w:sz w:val="18"/>
          <w:lang w:val="en-US"/>
        </w:rPr>
        <w:t>are presented for th</w:t>
      </w:r>
      <w:r w:rsidR="00097119" w:rsidRPr="00F24D86">
        <w:rPr>
          <w:sz w:val="18"/>
          <w:lang w:val="en-US"/>
        </w:rPr>
        <w:t xml:space="preserve">e comparison of the </w:t>
      </w:r>
      <w:r w:rsidR="00F0518A">
        <w:rPr>
          <w:sz w:val="18"/>
          <w:lang w:val="en-US"/>
        </w:rPr>
        <w:t xml:space="preserve">Spearman rank </w:t>
      </w:r>
      <w:r w:rsidR="00097119" w:rsidRPr="00F24D86">
        <w:rPr>
          <w:sz w:val="18"/>
          <w:lang w:val="en-US"/>
        </w:rPr>
        <w:t>correlation coefficient to 0.</w:t>
      </w:r>
    </w:p>
    <w:tbl>
      <w:tblPr>
        <w:tblW w:w="97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443"/>
        <w:gridCol w:w="1974"/>
        <w:gridCol w:w="1975"/>
        <w:gridCol w:w="1974"/>
        <w:gridCol w:w="1975"/>
      </w:tblGrid>
      <w:tr w:rsidR="00992F22" w:rsidRPr="00097119" w14:paraId="7FB90F42" w14:textId="77777777" w:rsidTr="00992F22">
        <w:trPr>
          <w:trHeight w:val="20"/>
          <w:jc w:val="center"/>
        </w:trPr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46784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Antibiotic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406DF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883A2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Change of number of OTUs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EC9E6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Change of Chao-1 index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453B2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Bray-Curtis dissimilarity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38CE9" w14:textId="77777777" w:rsidR="00924E7E" w:rsidRPr="00097119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Weighted UniFrac</w:t>
            </w:r>
          </w:p>
          <w:p w14:paraId="7C4BB704" w14:textId="7350F2A9" w:rsidR="00992F22" w:rsidRPr="00924E7E" w:rsidRDefault="00992F22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</w:pPr>
            <w:r w:rsidRPr="0009711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fr-FR"/>
              </w:rPr>
              <w:t>distance</w:t>
            </w:r>
          </w:p>
        </w:tc>
      </w:tr>
      <w:tr w:rsidR="00992F22" w:rsidRPr="00924E7E" w14:paraId="5E7E3F5B" w14:textId="77777777" w:rsidTr="00992F22">
        <w:trPr>
          <w:trHeight w:val="20"/>
          <w:jc w:val="center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4C16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val="en-US" w:eastAsia="fr-FR"/>
              </w:rPr>
              <w:t>Moxifloxacin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E498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70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E1E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-0.24 (p=0.052)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CB54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-0.25 (p=0.043)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149B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0.65 (p&lt;10</w:t>
            </w:r>
            <w:r w:rsidRPr="00924E7E">
              <w:rPr>
                <w:rFonts w:ascii="Calibri" w:eastAsia="Times New Roman" w:hAnsi="Calibri" w:cs="Times New Roman"/>
                <w:color w:val="000000"/>
                <w:szCs w:val="20"/>
                <w:vertAlign w:val="superscript"/>
                <w:lang w:eastAsia="fr-FR"/>
              </w:rPr>
              <w:t>-8</w:t>
            </w: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5E6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0.46 (p&lt;10</w:t>
            </w:r>
            <w:r w:rsidRPr="00924E7E">
              <w:rPr>
                <w:rFonts w:ascii="Calibri" w:eastAsia="Times New Roman" w:hAnsi="Calibri" w:cs="Times New Roman"/>
                <w:color w:val="000000"/>
                <w:szCs w:val="20"/>
                <w:vertAlign w:val="superscript"/>
                <w:lang w:eastAsia="fr-FR"/>
              </w:rPr>
              <w:t>-4</w:t>
            </w: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)</w:t>
            </w:r>
          </w:p>
        </w:tc>
      </w:tr>
      <w:tr w:rsidR="00992F22" w:rsidRPr="00924E7E" w14:paraId="24F23643" w14:textId="77777777" w:rsidTr="00992F22">
        <w:trPr>
          <w:trHeight w:val="20"/>
          <w:jc w:val="center"/>
        </w:trPr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67FE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Clindamycin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3E42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452A7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-0.45 (p=0.00035)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3A0FD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-0.43 (p=0.00053)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FF52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0.53 (p&lt;10</w:t>
            </w:r>
            <w:r w:rsidRPr="00924E7E">
              <w:rPr>
                <w:rFonts w:ascii="Calibri" w:eastAsia="Times New Roman" w:hAnsi="Calibri" w:cs="Times New Roman"/>
                <w:color w:val="000000"/>
                <w:szCs w:val="20"/>
                <w:vertAlign w:val="superscript"/>
                <w:lang w:eastAsia="fr-FR"/>
              </w:rPr>
              <w:t>-4</w:t>
            </w: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DEE8" w14:textId="77777777" w:rsidR="00924E7E" w:rsidRPr="00924E7E" w:rsidRDefault="00924E7E" w:rsidP="0099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</w:pPr>
            <w:r w:rsidRPr="00924E7E">
              <w:rPr>
                <w:rFonts w:ascii="Calibri" w:eastAsia="Times New Roman" w:hAnsi="Calibri" w:cs="Times New Roman"/>
                <w:color w:val="000000"/>
                <w:szCs w:val="20"/>
                <w:lang w:eastAsia="fr-FR"/>
              </w:rPr>
              <w:t>0.46 (p=0.00018)</w:t>
            </w:r>
          </w:p>
        </w:tc>
      </w:tr>
    </w:tbl>
    <w:p w14:paraId="7AA6EEFB" w14:textId="77777777" w:rsidR="00924E7E" w:rsidRDefault="00924E7E">
      <w:pPr>
        <w:rPr>
          <w:lang w:val="en-US"/>
        </w:rPr>
      </w:pPr>
    </w:p>
    <w:p w14:paraId="21E2F047" w14:textId="77777777" w:rsidR="001959C0" w:rsidRDefault="001959C0">
      <w:pPr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br w:type="page"/>
      </w:r>
    </w:p>
    <w:p w14:paraId="54BD6476" w14:textId="10B8F02F" w:rsidR="00992F22" w:rsidRDefault="00992F22" w:rsidP="00992F22">
      <w:pPr>
        <w:rPr>
          <w:sz w:val="24"/>
          <w:u w:val="single"/>
          <w:lang w:val="en-US"/>
        </w:rPr>
      </w:pPr>
      <w:r w:rsidRPr="00992F22">
        <w:rPr>
          <w:sz w:val="24"/>
          <w:u w:val="single"/>
          <w:lang w:val="en-US"/>
        </w:rPr>
        <w:t xml:space="preserve">Supplementary </w:t>
      </w:r>
      <w:r>
        <w:rPr>
          <w:sz w:val="24"/>
          <w:u w:val="single"/>
          <w:lang w:val="en-US"/>
        </w:rPr>
        <w:t>Figures</w:t>
      </w:r>
    </w:p>
    <w:p w14:paraId="0C3A8920" w14:textId="2CAF8DF2" w:rsidR="00201EC7" w:rsidRDefault="00201EC7">
      <w:pPr>
        <w:rPr>
          <w:sz w:val="18"/>
          <w:lang w:val="en-US"/>
        </w:rPr>
      </w:pPr>
      <w:r>
        <w:rPr>
          <w:sz w:val="18"/>
          <w:lang w:val="en-US"/>
        </w:rPr>
        <w:t>Supplementary Figure 1</w:t>
      </w:r>
      <w:r w:rsidRPr="00F24D86">
        <w:rPr>
          <w:sz w:val="18"/>
          <w:lang w:val="en-US"/>
        </w:rPr>
        <w:t xml:space="preserve">. </w:t>
      </w:r>
      <w:r>
        <w:rPr>
          <w:sz w:val="18"/>
          <w:lang w:val="en-US"/>
        </w:rPr>
        <w:t>Mean relative abundance of the main bacterial phyla at D</w:t>
      </w:r>
      <w:r w:rsidRPr="00201EC7">
        <w:rPr>
          <w:sz w:val="18"/>
          <w:vertAlign w:val="subscript"/>
          <w:lang w:val="en-US"/>
        </w:rPr>
        <w:t>0</w:t>
      </w:r>
      <w:r>
        <w:rPr>
          <w:sz w:val="18"/>
          <w:lang w:val="en-US"/>
        </w:rPr>
        <w:t xml:space="preserve"> and D</w:t>
      </w:r>
      <w:r w:rsidRPr="00201EC7">
        <w:rPr>
          <w:sz w:val="18"/>
          <w:vertAlign w:val="subscript"/>
          <w:lang w:val="en-US"/>
        </w:rPr>
        <w:t>3</w:t>
      </w:r>
      <w:r>
        <w:rPr>
          <w:sz w:val="18"/>
          <w:lang w:val="en-US"/>
        </w:rPr>
        <w:t xml:space="preserve"> </w:t>
      </w:r>
      <w:r w:rsidR="000E2596">
        <w:rPr>
          <w:sz w:val="18"/>
          <w:lang w:val="en-US"/>
        </w:rPr>
        <w:t xml:space="preserve">in the hamsters treated by antibiotics </w:t>
      </w:r>
      <w:r>
        <w:rPr>
          <w:sz w:val="18"/>
          <w:lang w:val="en-US"/>
        </w:rPr>
        <w:t>in the moxifloxacin (top) and clin</w:t>
      </w:r>
      <w:r w:rsidR="00B717F7">
        <w:rPr>
          <w:sz w:val="18"/>
          <w:lang w:val="en-US"/>
        </w:rPr>
        <w:t>d</w:t>
      </w:r>
      <w:r>
        <w:rPr>
          <w:sz w:val="18"/>
          <w:lang w:val="en-US"/>
        </w:rPr>
        <w:t xml:space="preserve">amycin (bottom) experiments. Stacked bars represent the mean relative abundance of </w:t>
      </w:r>
      <w:r w:rsidR="00B717F7">
        <w:rPr>
          <w:sz w:val="18"/>
          <w:lang w:val="en-US"/>
        </w:rPr>
        <w:t>each bacterial phylum</w:t>
      </w:r>
      <w:r>
        <w:rPr>
          <w:sz w:val="18"/>
          <w:lang w:val="en-US"/>
        </w:rPr>
        <w:t>.</w:t>
      </w:r>
    </w:p>
    <w:p w14:paraId="2DDD2157" w14:textId="5E166643" w:rsidR="00201EC7" w:rsidRDefault="00B04BC6" w:rsidP="00201EC7">
      <w:pPr>
        <w:jc w:val="center"/>
        <w:rPr>
          <w:sz w:val="18"/>
          <w:lang w:val="en-US"/>
        </w:rPr>
      </w:pPr>
      <w:r>
        <w:rPr>
          <w:noProof/>
          <w:sz w:val="18"/>
          <w:lang w:eastAsia="fr-FR"/>
        </w:rPr>
        <w:pict w14:anchorId="39696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2.25pt">
            <v:imagedata r:id="rId8" o:title="phylum_time_stacked"/>
          </v:shape>
        </w:pict>
      </w:r>
      <w:r w:rsidR="00201EC7">
        <w:rPr>
          <w:sz w:val="18"/>
          <w:lang w:val="en-US"/>
        </w:rPr>
        <w:br w:type="page"/>
      </w:r>
    </w:p>
    <w:p w14:paraId="4EECE0AA" w14:textId="41387494" w:rsidR="00992F22" w:rsidRDefault="00201EC7" w:rsidP="00992F22">
      <w:pPr>
        <w:rPr>
          <w:lang w:val="en-US"/>
        </w:rPr>
      </w:pPr>
      <w:r>
        <w:rPr>
          <w:sz w:val="18"/>
          <w:lang w:val="en-US"/>
        </w:rPr>
        <w:t>Supplementary Figure 2</w:t>
      </w:r>
      <w:r w:rsidR="00992F22" w:rsidRPr="00F24D86">
        <w:rPr>
          <w:sz w:val="18"/>
          <w:lang w:val="en-US"/>
        </w:rPr>
        <w:t xml:space="preserve">. </w:t>
      </w:r>
      <w:r w:rsidR="00097119" w:rsidRPr="00F24D86">
        <w:rPr>
          <w:sz w:val="18"/>
          <w:lang w:val="en-US"/>
        </w:rPr>
        <w:t>Scatterplot of the evolution of the change of Shannon index (top panel) and unweighted UniFrac distance (bottom panel) between D</w:t>
      </w:r>
      <w:r w:rsidR="00097119" w:rsidRPr="00F24D86">
        <w:rPr>
          <w:sz w:val="18"/>
          <w:vertAlign w:val="subscript"/>
          <w:lang w:val="en-US"/>
        </w:rPr>
        <w:t>0</w:t>
      </w:r>
      <w:r w:rsidR="00097119" w:rsidRPr="00F24D86">
        <w:rPr>
          <w:sz w:val="18"/>
          <w:lang w:val="en-US"/>
        </w:rPr>
        <w:t xml:space="preserve"> and D</w:t>
      </w:r>
      <w:r w:rsidR="00097119" w:rsidRPr="00F24D86">
        <w:rPr>
          <w:sz w:val="18"/>
          <w:vertAlign w:val="subscript"/>
          <w:lang w:val="en-US"/>
        </w:rPr>
        <w:t>3</w:t>
      </w:r>
      <w:r w:rsidR="00097119" w:rsidRPr="00F24D86">
        <w:rPr>
          <w:sz w:val="18"/>
          <w:lang w:val="en-US"/>
        </w:rPr>
        <w:t xml:space="preserve"> according to fecal concentration </w:t>
      </w:r>
      <w:r w:rsidR="00BF1CEA">
        <w:rPr>
          <w:sz w:val="18"/>
          <w:lang w:val="en-US"/>
        </w:rPr>
        <w:t>at D</w:t>
      </w:r>
      <w:r w:rsidR="00BF1CEA" w:rsidRPr="00BF1CEA">
        <w:rPr>
          <w:sz w:val="18"/>
          <w:vertAlign w:val="subscript"/>
          <w:lang w:val="en-US"/>
        </w:rPr>
        <w:t>3</w:t>
      </w:r>
      <w:r w:rsidR="00BF1CEA">
        <w:rPr>
          <w:sz w:val="18"/>
          <w:lang w:val="en-US"/>
        </w:rPr>
        <w:t xml:space="preserve"> </w:t>
      </w:r>
      <w:r w:rsidR="00097119" w:rsidRPr="00F24D86">
        <w:rPr>
          <w:sz w:val="18"/>
          <w:lang w:val="en-US"/>
        </w:rPr>
        <w:t xml:space="preserve">of </w:t>
      </w:r>
      <w:r w:rsidR="00612FD7">
        <w:rPr>
          <w:sz w:val="18"/>
          <w:lang w:val="en-US"/>
        </w:rPr>
        <w:t>active</w:t>
      </w:r>
      <w:r w:rsidR="00097119" w:rsidRPr="00F24D86">
        <w:rPr>
          <w:sz w:val="18"/>
          <w:lang w:val="en-US"/>
        </w:rPr>
        <w:t xml:space="preserve"> moxifloxacin (left) or clindamycin (right).</w:t>
      </w:r>
      <w:r w:rsidR="001B6837">
        <w:rPr>
          <w:sz w:val="18"/>
          <w:lang w:val="en-US"/>
        </w:rPr>
        <w:t xml:space="preserve"> Spearman rank correlation coefficients were -0.25 (p=0.043) and 0.71 (p&lt;10</w:t>
      </w:r>
      <w:r w:rsidR="001B6837" w:rsidRPr="001B6837">
        <w:rPr>
          <w:sz w:val="18"/>
          <w:vertAlign w:val="superscript"/>
          <w:lang w:val="en-US"/>
        </w:rPr>
        <w:t>-10</w:t>
      </w:r>
      <w:r w:rsidR="001B6837">
        <w:rPr>
          <w:sz w:val="18"/>
          <w:lang w:val="en-US"/>
        </w:rPr>
        <w:t>)</w:t>
      </w:r>
      <w:r w:rsidR="001B6837" w:rsidRPr="001B6837">
        <w:rPr>
          <w:sz w:val="18"/>
          <w:lang w:val="en-US"/>
        </w:rPr>
        <w:t xml:space="preserve"> </w:t>
      </w:r>
      <w:r w:rsidR="001B6837">
        <w:rPr>
          <w:sz w:val="18"/>
          <w:lang w:val="en-US"/>
        </w:rPr>
        <w:t xml:space="preserve">between the concentration of </w:t>
      </w:r>
      <w:r w:rsidR="00612FD7">
        <w:rPr>
          <w:sz w:val="18"/>
          <w:lang w:val="en-US"/>
        </w:rPr>
        <w:t>active</w:t>
      </w:r>
      <w:r w:rsidR="001B6837">
        <w:rPr>
          <w:sz w:val="18"/>
          <w:lang w:val="en-US"/>
        </w:rPr>
        <w:t xml:space="preserve"> moxifloxacin and the change of Shannon index or the unweighted UniFrac distance, respectively. </w:t>
      </w:r>
      <w:r w:rsidR="0003409A">
        <w:rPr>
          <w:sz w:val="18"/>
          <w:lang w:val="en-US"/>
        </w:rPr>
        <w:t xml:space="preserve">Correlation coefficients between the concentration of active clindamycin and the change of Shannon index or the unweighted UniFrac distance </w:t>
      </w:r>
      <w:r w:rsidR="001B6837">
        <w:rPr>
          <w:sz w:val="18"/>
          <w:lang w:val="en-US"/>
        </w:rPr>
        <w:t>were -0.49 (p&lt;10</w:t>
      </w:r>
      <w:r w:rsidR="001B6837" w:rsidRPr="001B6837">
        <w:rPr>
          <w:sz w:val="18"/>
          <w:vertAlign w:val="superscript"/>
          <w:lang w:val="en-US"/>
        </w:rPr>
        <w:t>-4</w:t>
      </w:r>
      <w:r w:rsidR="001B6837">
        <w:rPr>
          <w:sz w:val="18"/>
          <w:lang w:val="en-US"/>
        </w:rPr>
        <w:t>) and 0.57 (p&lt;10</w:t>
      </w:r>
      <w:r w:rsidR="001B6837" w:rsidRPr="001B6837">
        <w:rPr>
          <w:sz w:val="18"/>
          <w:vertAlign w:val="superscript"/>
          <w:lang w:val="en-US"/>
        </w:rPr>
        <w:t>-5</w:t>
      </w:r>
      <w:r w:rsidR="001B6837">
        <w:rPr>
          <w:sz w:val="18"/>
          <w:lang w:val="en-US"/>
        </w:rPr>
        <w:t>)</w:t>
      </w:r>
      <w:r w:rsidR="0003409A">
        <w:rPr>
          <w:sz w:val="18"/>
          <w:lang w:val="en-US"/>
        </w:rPr>
        <w:t>,</w:t>
      </w:r>
      <w:r w:rsidR="0003409A" w:rsidRPr="0003409A">
        <w:rPr>
          <w:sz w:val="18"/>
          <w:lang w:val="en-US"/>
        </w:rPr>
        <w:t xml:space="preserve"> </w:t>
      </w:r>
      <w:r w:rsidR="0003409A">
        <w:rPr>
          <w:sz w:val="18"/>
          <w:lang w:val="en-US"/>
        </w:rPr>
        <w:t>respectively</w:t>
      </w:r>
      <w:r w:rsidR="001B6837">
        <w:rPr>
          <w:sz w:val="18"/>
          <w:lang w:val="en-US"/>
        </w:rPr>
        <w:t>.</w:t>
      </w:r>
      <w:r w:rsidR="004A4FE0" w:rsidRPr="004A4FE0">
        <w:rPr>
          <w:sz w:val="18"/>
          <w:lang w:val="en-US"/>
        </w:rPr>
        <w:t xml:space="preserve"> </w:t>
      </w:r>
      <w:r w:rsidR="004A4FE0">
        <w:rPr>
          <w:sz w:val="18"/>
          <w:lang w:val="en-US"/>
        </w:rPr>
        <w:t>Black lines correspond to the linear regressions of the diversity index according to the fecal concentration of antibiotic, estimated using the least squares method.</w:t>
      </w:r>
      <w:r w:rsidR="004A4FE0">
        <w:rPr>
          <w:noProof/>
          <w:lang w:eastAsia="fr-FR"/>
        </w:rPr>
        <w:drawing>
          <wp:inline distT="0" distB="0" distL="0" distR="0" wp14:anchorId="4527B95C" wp14:editId="618CB356">
            <wp:extent cx="5760720" cy="3840480"/>
            <wp:effectExtent l="0" t="0" r="0" b="7620"/>
            <wp:docPr id="9" name="Image 9" descr="C:\ImageReseauInserm\DAV\analyse_hamsters_microbiote\article\figures\figures_anglais\concd3_shannon_unwUniF_cartesien_with_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ReseauInserm\DAV\analyse_hamsters_microbiote\article\figures\figures_anglais\concd3_shannon_unwUniF_cartesien_with_l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D831" w14:textId="77777777" w:rsidR="00C06729" w:rsidRDefault="00C06729" w:rsidP="00992F22">
      <w:pPr>
        <w:rPr>
          <w:lang w:val="en-US"/>
        </w:rPr>
      </w:pPr>
    </w:p>
    <w:p w14:paraId="65E3358C" w14:textId="77777777" w:rsidR="001959C0" w:rsidRDefault="001959C0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p w14:paraId="374F0731" w14:textId="42EB81DE" w:rsidR="00C06729" w:rsidRPr="00F24D86" w:rsidRDefault="00C06729" w:rsidP="00992F22">
      <w:pPr>
        <w:rPr>
          <w:sz w:val="22"/>
          <w:lang w:val="en-US"/>
        </w:rPr>
      </w:pPr>
      <w:r w:rsidRPr="00F24D86">
        <w:rPr>
          <w:sz w:val="18"/>
          <w:lang w:val="en-US"/>
        </w:rPr>
        <w:t xml:space="preserve">Supplementary Figure </w:t>
      </w:r>
      <w:r w:rsidR="00201EC7">
        <w:rPr>
          <w:sz w:val="18"/>
          <w:lang w:val="en-US"/>
        </w:rPr>
        <w:t>3</w:t>
      </w:r>
      <w:r w:rsidRPr="00F24D86">
        <w:rPr>
          <w:sz w:val="18"/>
          <w:lang w:val="en-US"/>
        </w:rPr>
        <w:t xml:space="preserve">. Receiving operator curves for the change of Shannon index (red curve) and unweighted UniFrac distance (green curve) </w:t>
      </w:r>
      <w:r w:rsidR="00BF1CEA">
        <w:rPr>
          <w:sz w:val="18"/>
          <w:lang w:val="en-US"/>
        </w:rPr>
        <w:t>between D</w:t>
      </w:r>
      <w:r w:rsidR="00BF1CEA" w:rsidRPr="00BF1CEA">
        <w:rPr>
          <w:sz w:val="18"/>
          <w:vertAlign w:val="subscript"/>
          <w:lang w:val="en-US"/>
        </w:rPr>
        <w:t>0</w:t>
      </w:r>
      <w:r w:rsidR="00BF1CEA">
        <w:rPr>
          <w:sz w:val="18"/>
          <w:lang w:val="en-US"/>
        </w:rPr>
        <w:t xml:space="preserve"> and D</w:t>
      </w:r>
      <w:r w:rsidR="00BF1CEA" w:rsidRPr="00BF1CEA">
        <w:rPr>
          <w:sz w:val="18"/>
          <w:vertAlign w:val="subscript"/>
          <w:lang w:val="en-US"/>
        </w:rPr>
        <w:t>3</w:t>
      </w:r>
      <w:r w:rsidR="00BF1CEA">
        <w:rPr>
          <w:sz w:val="18"/>
          <w:lang w:val="en-US"/>
        </w:rPr>
        <w:t xml:space="preserve"> </w:t>
      </w:r>
      <w:r w:rsidR="0003409A" w:rsidRPr="0003409A">
        <w:rPr>
          <w:sz w:val="18"/>
          <w:lang w:val="en-US"/>
        </w:rPr>
        <w:t>after pooling data from antibiotic-treated animals in the moxifloxacin and clindamycin studies</w:t>
      </w:r>
      <w:r w:rsidRPr="00F24D86">
        <w:rPr>
          <w:sz w:val="18"/>
          <w:lang w:val="en-US"/>
        </w:rPr>
        <w:t>.</w:t>
      </w:r>
      <w:r w:rsidR="00F24D86">
        <w:rPr>
          <w:sz w:val="18"/>
          <w:lang w:val="en-US"/>
        </w:rPr>
        <w:t xml:space="preserve"> AUROC for the normalized Shannon index was 0.89 [95%CI, 0.82; 0.95] and AUROC for the unweighted UniFrac distance was 0.95 [95%CI, 0.90; 0.98].</w:t>
      </w:r>
    </w:p>
    <w:p w14:paraId="79667C49" w14:textId="1D23C074" w:rsidR="00BE0CF0" w:rsidRDefault="00260F7E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2941855" wp14:editId="4B2D1FA4">
            <wp:extent cx="5758180" cy="4322445"/>
            <wp:effectExtent l="0" t="0" r="0" b="1905"/>
            <wp:docPr id="8" name="Image 8" descr="C:\ImageReseauInserm\DAV\analyse_hamsters_microbiote\article\figures\ph123_ph124_roc_non_normal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ReseauInserm\DAV\analyse_hamsters_microbiote\article\figures\ph123_ph124_roc_non_normali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2B65" w14:textId="2F0FA64D" w:rsidR="00AF3B1C" w:rsidRDefault="00AF3B1C">
      <w:pPr>
        <w:rPr>
          <w:lang w:val="en-US"/>
        </w:rPr>
      </w:pPr>
    </w:p>
    <w:p w14:paraId="3049A381" w14:textId="77777777" w:rsidR="001959C0" w:rsidRDefault="001959C0">
      <w:pPr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p w14:paraId="774C112B" w14:textId="1B6DEF6C" w:rsidR="00BE0CF0" w:rsidRPr="00BF1CEA" w:rsidRDefault="00BE0CF0">
      <w:pPr>
        <w:rPr>
          <w:sz w:val="18"/>
          <w:lang w:val="en-US"/>
        </w:rPr>
      </w:pPr>
      <w:r w:rsidRPr="00BF1CEA">
        <w:rPr>
          <w:sz w:val="18"/>
          <w:lang w:val="en-US"/>
        </w:rPr>
        <w:t>Sup</w:t>
      </w:r>
      <w:r w:rsidR="00201EC7">
        <w:rPr>
          <w:sz w:val="18"/>
          <w:lang w:val="en-US"/>
        </w:rPr>
        <w:t>plementary Figure 4</w:t>
      </w:r>
      <w:r w:rsidRPr="00BF1CEA">
        <w:rPr>
          <w:sz w:val="18"/>
          <w:lang w:val="en-US"/>
        </w:rPr>
        <w:t xml:space="preserve">. Evolution of sensitivity, specificity and Youden index of the normalized change of Shannon index and unweighted UniFrac distance </w:t>
      </w:r>
      <w:r w:rsidR="00BF1CEA" w:rsidRPr="00BF1CEA">
        <w:rPr>
          <w:sz w:val="18"/>
          <w:lang w:val="en-US"/>
        </w:rPr>
        <w:t>between D</w:t>
      </w:r>
      <w:r w:rsidR="00BF1CEA" w:rsidRPr="00BF1CEA">
        <w:rPr>
          <w:sz w:val="18"/>
          <w:vertAlign w:val="subscript"/>
          <w:lang w:val="en-US"/>
        </w:rPr>
        <w:t>0</w:t>
      </w:r>
      <w:r w:rsidR="00BF1CEA" w:rsidRPr="00BF1CEA">
        <w:rPr>
          <w:sz w:val="18"/>
          <w:lang w:val="en-US"/>
        </w:rPr>
        <w:t xml:space="preserve"> and D</w:t>
      </w:r>
      <w:r w:rsidR="00BF1CEA" w:rsidRPr="00BF1CEA">
        <w:rPr>
          <w:sz w:val="18"/>
          <w:vertAlign w:val="subscript"/>
          <w:lang w:val="en-US"/>
        </w:rPr>
        <w:t>3</w:t>
      </w:r>
      <w:r w:rsidR="00BF1CEA" w:rsidRPr="00BF1CEA">
        <w:rPr>
          <w:sz w:val="18"/>
          <w:lang w:val="en-US"/>
        </w:rPr>
        <w:t xml:space="preserve"> </w:t>
      </w:r>
      <w:r w:rsidRPr="00BF1CEA">
        <w:rPr>
          <w:sz w:val="18"/>
          <w:lang w:val="en-US"/>
        </w:rPr>
        <w:t>for prediction of death by D</w:t>
      </w:r>
      <w:r w:rsidRPr="00BF1CEA">
        <w:rPr>
          <w:sz w:val="18"/>
          <w:vertAlign w:val="subscript"/>
          <w:lang w:val="en-US"/>
        </w:rPr>
        <w:t>16</w:t>
      </w:r>
      <w:r w:rsidRPr="00BF1CEA">
        <w:rPr>
          <w:sz w:val="18"/>
          <w:lang w:val="en-US"/>
        </w:rPr>
        <w:t xml:space="preserve"> according to observed values of both diversity index</w:t>
      </w:r>
      <w:r w:rsidR="0003409A">
        <w:rPr>
          <w:sz w:val="18"/>
          <w:lang w:val="en-US"/>
        </w:rPr>
        <w:t xml:space="preserve">, </w:t>
      </w:r>
      <w:r w:rsidR="0003409A" w:rsidRPr="0003409A">
        <w:rPr>
          <w:sz w:val="18"/>
          <w:lang w:val="en-US"/>
        </w:rPr>
        <w:t>after pooling data from antibiotic-treated animals in the moxifloxacin and clindamycin studies</w:t>
      </w:r>
      <w:r w:rsidRPr="00BF1CEA">
        <w:rPr>
          <w:sz w:val="18"/>
          <w:lang w:val="en-US"/>
        </w:rPr>
        <w:t>. The grey shaded areas represent the 95% confidence intervals of the best cut-off values of both indices.</w:t>
      </w:r>
    </w:p>
    <w:p w14:paraId="505E09B8" w14:textId="783EB90A" w:rsidR="00E95831" w:rsidRDefault="00C92DF3">
      <w:pPr>
        <w:rPr>
          <w:rFonts w:eastAsiaTheme="majorEastAsia" w:cstheme="majorBidi"/>
          <w:b/>
          <w:color w:val="000000" w:themeColor="text1"/>
          <w:sz w:val="28"/>
          <w:szCs w:val="32"/>
          <w:lang w:val="en-US"/>
        </w:rPr>
      </w:pPr>
      <w:r>
        <w:rPr>
          <w:noProof/>
          <w:lang w:eastAsia="fr-FR"/>
        </w:rPr>
        <w:drawing>
          <wp:inline distT="0" distB="0" distL="0" distR="0" wp14:anchorId="52ABE66A" wp14:editId="04703169">
            <wp:extent cx="5758180" cy="2879090"/>
            <wp:effectExtent l="0" t="0" r="0" b="0"/>
            <wp:docPr id="3" name="Image 3" descr="C:\ImageReseauInserm\DAV\analyse_hamsters_microbiote\article\figures\se_sp_youden_shannon_unif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ReseauInserm\DAV\analyse_hamsters_microbiote\article\figures\se_sp_youden_shannon_unifr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831" w:rsidSect="00E04762">
      <w:headerReference w:type="default" r:id="rId12"/>
      <w:footerReference w:type="default" r:id="rId13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6DE5" w14:textId="77777777" w:rsidR="00555039" w:rsidRDefault="00555039" w:rsidP="00736AB7">
      <w:pPr>
        <w:spacing w:after="0" w:line="240" w:lineRule="auto"/>
      </w:pPr>
      <w:r>
        <w:separator/>
      </w:r>
    </w:p>
  </w:endnote>
  <w:endnote w:type="continuationSeparator" w:id="0">
    <w:p w14:paraId="6BAE2B12" w14:textId="77777777" w:rsidR="00555039" w:rsidRDefault="00555039" w:rsidP="00736AB7">
      <w:pPr>
        <w:spacing w:after="0" w:line="240" w:lineRule="auto"/>
      </w:pPr>
      <w:r>
        <w:continuationSeparator/>
      </w:r>
    </w:p>
  </w:endnote>
  <w:endnote w:type="continuationNotice" w:id="1">
    <w:p w14:paraId="770A99D6" w14:textId="77777777" w:rsidR="00555039" w:rsidRDefault="0055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E2686" w:rsidRPr="00736AB7" w14:paraId="39965ED0" w14:textId="77777777" w:rsidTr="00736AB7">
      <w:trPr>
        <w:jc w:val="center"/>
      </w:trPr>
      <w:tc>
        <w:tcPr>
          <w:tcW w:w="3020" w:type="dxa"/>
          <w:vAlign w:val="center"/>
        </w:tcPr>
        <w:p w14:paraId="2AE0714C" w14:textId="213DC9BE" w:rsidR="002E2686" w:rsidRPr="00736AB7" w:rsidRDefault="002E2686">
          <w:pPr>
            <w:pStyle w:val="Pieddepage"/>
            <w:rPr>
              <w:sz w:val="18"/>
            </w:rPr>
          </w:pPr>
        </w:p>
      </w:tc>
      <w:tc>
        <w:tcPr>
          <w:tcW w:w="3021" w:type="dxa"/>
          <w:vAlign w:val="center"/>
        </w:tcPr>
        <w:p w14:paraId="39048AEC" w14:textId="5C3CBD7A" w:rsidR="002E2686" w:rsidRPr="00736AB7" w:rsidRDefault="002E2686" w:rsidP="00736AB7">
          <w:pPr>
            <w:pStyle w:val="Pieddepage"/>
            <w:jc w:val="center"/>
            <w:rPr>
              <w:sz w:val="18"/>
              <w:lang w:val="en-US"/>
            </w:rPr>
          </w:pPr>
        </w:p>
      </w:tc>
      <w:tc>
        <w:tcPr>
          <w:tcW w:w="3021" w:type="dxa"/>
          <w:vAlign w:val="center"/>
        </w:tcPr>
        <w:p w14:paraId="7E526269" w14:textId="5EAE9EDD" w:rsidR="002E2686" w:rsidRPr="00736AB7" w:rsidRDefault="002E2686" w:rsidP="001959C0">
          <w:pPr>
            <w:pStyle w:val="Pieddepage"/>
            <w:jc w:val="right"/>
            <w:rPr>
              <w:sz w:val="18"/>
              <w:lang w:val="en-US"/>
            </w:rPr>
          </w:pPr>
          <w:r w:rsidRPr="00736AB7">
            <w:rPr>
              <w:sz w:val="18"/>
              <w:lang w:val="en-US"/>
            </w:rPr>
            <w:t xml:space="preserve">Page </w:t>
          </w:r>
          <w:r w:rsidRPr="00736AB7">
            <w:rPr>
              <w:bCs/>
              <w:sz w:val="18"/>
              <w:lang w:val="en-US"/>
            </w:rPr>
            <w:fldChar w:fldCharType="begin"/>
          </w:r>
          <w:r w:rsidRPr="00736AB7">
            <w:rPr>
              <w:bCs/>
              <w:sz w:val="18"/>
              <w:lang w:val="en-US"/>
            </w:rPr>
            <w:instrText>PAGE  \* Arabic  \* MERGEFORMAT</w:instrText>
          </w:r>
          <w:r w:rsidRPr="00736AB7">
            <w:rPr>
              <w:bCs/>
              <w:sz w:val="18"/>
              <w:lang w:val="en-US"/>
            </w:rPr>
            <w:fldChar w:fldCharType="separate"/>
          </w:r>
          <w:r w:rsidR="00555039">
            <w:rPr>
              <w:bCs/>
              <w:noProof/>
              <w:sz w:val="18"/>
              <w:lang w:val="en-US"/>
            </w:rPr>
            <w:t>1</w:t>
          </w:r>
          <w:r w:rsidRPr="00736AB7">
            <w:rPr>
              <w:bCs/>
              <w:sz w:val="18"/>
              <w:lang w:val="en-US"/>
            </w:rPr>
            <w:fldChar w:fldCharType="end"/>
          </w:r>
          <w:r w:rsidRPr="00736AB7">
            <w:rPr>
              <w:sz w:val="18"/>
              <w:lang w:val="en-US"/>
            </w:rPr>
            <w:t xml:space="preserve"> </w:t>
          </w:r>
          <w:r w:rsidR="001959C0">
            <w:rPr>
              <w:sz w:val="18"/>
              <w:lang w:val="en-US"/>
            </w:rPr>
            <w:t>of</w:t>
          </w:r>
          <w:r w:rsidRPr="00736AB7">
            <w:rPr>
              <w:sz w:val="18"/>
              <w:lang w:val="en-US"/>
            </w:rPr>
            <w:t xml:space="preserve"> </w:t>
          </w:r>
          <w:r w:rsidR="00555039">
            <w:fldChar w:fldCharType="begin"/>
          </w:r>
          <w:r w:rsidR="00555039">
            <w:instrText>NUMPAGES  \* Arabic  \* MERGEFORMAT</w:instrText>
          </w:r>
          <w:r w:rsidR="00555039">
            <w:fldChar w:fldCharType="separate"/>
          </w:r>
          <w:r w:rsidR="00555039" w:rsidRPr="00555039">
            <w:rPr>
              <w:bCs/>
              <w:noProof/>
              <w:sz w:val="18"/>
              <w:lang w:val="en-US"/>
            </w:rPr>
            <w:t>1</w:t>
          </w:r>
          <w:r w:rsidR="00555039">
            <w:rPr>
              <w:bCs/>
              <w:noProof/>
              <w:sz w:val="18"/>
              <w:lang w:val="en-US"/>
            </w:rPr>
            <w:fldChar w:fldCharType="end"/>
          </w:r>
        </w:p>
      </w:tc>
    </w:tr>
  </w:tbl>
  <w:p w14:paraId="58C03764" w14:textId="77777777" w:rsidR="002E2686" w:rsidRPr="00736AB7" w:rsidRDefault="002E268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FAF0" w14:textId="77777777" w:rsidR="00555039" w:rsidRDefault="00555039" w:rsidP="00736AB7">
      <w:pPr>
        <w:spacing w:after="0" w:line="240" w:lineRule="auto"/>
      </w:pPr>
      <w:r>
        <w:separator/>
      </w:r>
    </w:p>
  </w:footnote>
  <w:footnote w:type="continuationSeparator" w:id="0">
    <w:p w14:paraId="7CA4103A" w14:textId="77777777" w:rsidR="00555039" w:rsidRDefault="00555039" w:rsidP="00736AB7">
      <w:pPr>
        <w:spacing w:after="0" w:line="240" w:lineRule="auto"/>
      </w:pPr>
      <w:r>
        <w:continuationSeparator/>
      </w:r>
    </w:p>
  </w:footnote>
  <w:footnote w:type="continuationNotice" w:id="1">
    <w:p w14:paraId="15C298E8" w14:textId="77777777" w:rsidR="00555039" w:rsidRDefault="0055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272E" w14:textId="0EFAB87D" w:rsidR="00B04BC6" w:rsidRPr="00B04BC6" w:rsidRDefault="00B04BC6" w:rsidP="00B04BC6">
    <w:pPr>
      <w:spacing w:line="240" w:lineRule="auto"/>
      <w:rPr>
        <w:szCs w:val="20"/>
        <w:lang w:val="en-US"/>
      </w:rPr>
    </w:pPr>
    <w:r w:rsidRPr="00B04BC6">
      <w:rPr>
        <w:szCs w:val="20"/>
        <w:lang w:val="en-US"/>
      </w:rPr>
      <w:t xml:space="preserve">Supplementary material for : </w:t>
    </w:r>
    <w:r w:rsidRPr="00B04BC6">
      <w:rPr>
        <w:i/>
        <w:szCs w:val="20"/>
        <w:lang w:val="en-US"/>
      </w:rPr>
      <w:t xml:space="preserve">Antibiotic-induced dysbiosis predicts mortality in an animal model of </w:t>
    </w:r>
    <w:r w:rsidRPr="00B04BC6">
      <w:rPr>
        <w:szCs w:val="20"/>
        <w:lang w:val="en-US"/>
      </w:rPr>
      <w:t>Clostridium difficile</w:t>
    </w:r>
    <w:r w:rsidRPr="00B04BC6">
      <w:rPr>
        <w:i/>
        <w:szCs w:val="20"/>
        <w:lang w:val="en-US"/>
      </w:rPr>
      <w:t xml:space="preserve"> infection</w:t>
    </w:r>
    <w:r>
      <w:rPr>
        <w:szCs w:val="20"/>
        <w:lang w:val="en-US"/>
      </w:rPr>
      <w:t xml:space="preserve">, by Burdet C </w:t>
    </w:r>
    <w:r w:rsidRPr="00B04BC6">
      <w:rPr>
        <w:i/>
        <w:szCs w:val="20"/>
        <w:lang w:val="en-US"/>
      </w:rPr>
      <w:t>et al</w:t>
    </w:r>
    <w:r>
      <w:rPr>
        <w:szCs w:val="20"/>
        <w:lang w:val="en-US"/>
      </w:rPr>
      <w:t>.²</w:t>
    </w:r>
  </w:p>
  <w:p w14:paraId="7F24F709" w14:textId="705CCE7B" w:rsidR="00B04BC6" w:rsidRPr="00B04BC6" w:rsidRDefault="00B04BC6" w:rsidP="00B04BC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EC0"/>
    <w:multiLevelType w:val="hybridMultilevel"/>
    <w:tmpl w:val="19960660"/>
    <w:lvl w:ilvl="0" w:tplc="CAF4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24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E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A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03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5916CC"/>
    <w:multiLevelType w:val="hybridMultilevel"/>
    <w:tmpl w:val="848428A4"/>
    <w:lvl w:ilvl="0" w:tplc="6A942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62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A4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0F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A0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2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87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69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0C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94B"/>
    <w:multiLevelType w:val="hybridMultilevel"/>
    <w:tmpl w:val="42BA4ABE"/>
    <w:lvl w:ilvl="0" w:tplc="CE0C5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E0B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3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6B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E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6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6F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07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A2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1A66"/>
    <w:multiLevelType w:val="hybridMultilevel"/>
    <w:tmpl w:val="CD860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120D"/>
    <w:multiLevelType w:val="hybridMultilevel"/>
    <w:tmpl w:val="D81E9730"/>
    <w:lvl w:ilvl="0" w:tplc="4DCE6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6A07"/>
    <w:multiLevelType w:val="hybridMultilevel"/>
    <w:tmpl w:val="F59C2A28"/>
    <w:lvl w:ilvl="0" w:tplc="93803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7B45"/>
    <w:multiLevelType w:val="hybridMultilevel"/>
    <w:tmpl w:val="687858B8"/>
    <w:lvl w:ilvl="0" w:tplc="56849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5B09"/>
    <w:multiLevelType w:val="hybridMultilevel"/>
    <w:tmpl w:val="127CA34E"/>
    <w:lvl w:ilvl="0" w:tplc="E3E2E3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tzarrr03v2r5oe595kxd0fjztpstz9xrvzf&quot;&gt;biblio_article_microbiot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/record-ids&gt;&lt;/item&gt;&lt;/Libraries&gt;"/>
  </w:docVars>
  <w:rsids>
    <w:rsidRoot w:val="00943877"/>
    <w:rsid w:val="00001A23"/>
    <w:rsid w:val="00003904"/>
    <w:rsid w:val="00004038"/>
    <w:rsid w:val="00005361"/>
    <w:rsid w:val="00007238"/>
    <w:rsid w:val="00011A0C"/>
    <w:rsid w:val="00016243"/>
    <w:rsid w:val="00017F2F"/>
    <w:rsid w:val="0002015F"/>
    <w:rsid w:val="0002101D"/>
    <w:rsid w:val="00022187"/>
    <w:rsid w:val="00023A54"/>
    <w:rsid w:val="000259A8"/>
    <w:rsid w:val="00027778"/>
    <w:rsid w:val="00033641"/>
    <w:rsid w:val="0003365D"/>
    <w:rsid w:val="0003409A"/>
    <w:rsid w:val="00036E22"/>
    <w:rsid w:val="00037B29"/>
    <w:rsid w:val="0004184E"/>
    <w:rsid w:val="0004199D"/>
    <w:rsid w:val="000441A7"/>
    <w:rsid w:val="00044C15"/>
    <w:rsid w:val="00047256"/>
    <w:rsid w:val="00060A71"/>
    <w:rsid w:val="0006178B"/>
    <w:rsid w:val="00063846"/>
    <w:rsid w:val="00064E24"/>
    <w:rsid w:val="00065322"/>
    <w:rsid w:val="00065B2B"/>
    <w:rsid w:val="000674B1"/>
    <w:rsid w:val="000713A5"/>
    <w:rsid w:val="000740F2"/>
    <w:rsid w:val="00074532"/>
    <w:rsid w:val="000752B3"/>
    <w:rsid w:val="00075A9C"/>
    <w:rsid w:val="00075CD9"/>
    <w:rsid w:val="00075DD5"/>
    <w:rsid w:val="00075FA7"/>
    <w:rsid w:val="00076F3A"/>
    <w:rsid w:val="00081381"/>
    <w:rsid w:val="00082579"/>
    <w:rsid w:val="00082A21"/>
    <w:rsid w:val="00083012"/>
    <w:rsid w:val="00084343"/>
    <w:rsid w:val="000852AD"/>
    <w:rsid w:val="000858F1"/>
    <w:rsid w:val="000868CE"/>
    <w:rsid w:val="00090036"/>
    <w:rsid w:val="000909E9"/>
    <w:rsid w:val="000919E3"/>
    <w:rsid w:val="00092CE5"/>
    <w:rsid w:val="00093BC7"/>
    <w:rsid w:val="0009450C"/>
    <w:rsid w:val="000955A3"/>
    <w:rsid w:val="00097119"/>
    <w:rsid w:val="00097A95"/>
    <w:rsid w:val="000A2340"/>
    <w:rsid w:val="000A285A"/>
    <w:rsid w:val="000A4D19"/>
    <w:rsid w:val="000A72D5"/>
    <w:rsid w:val="000A798B"/>
    <w:rsid w:val="000B1E8A"/>
    <w:rsid w:val="000B28EE"/>
    <w:rsid w:val="000B4FDD"/>
    <w:rsid w:val="000B6732"/>
    <w:rsid w:val="000B6E48"/>
    <w:rsid w:val="000B72ED"/>
    <w:rsid w:val="000B7A05"/>
    <w:rsid w:val="000B7BE9"/>
    <w:rsid w:val="000C02A8"/>
    <w:rsid w:val="000C27BA"/>
    <w:rsid w:val="000C3974"/>
    <w:rsid w:val="000C6D92"/>
    <w:rsid w:val="000C6E98"/>
    <w:rsid w:val="000D2237"/>
    <w:rsid w:val="000D3D6D"/>
    <w:rsid w:val="000D49DC"/>
    <w:rsid w:val="000D4C51"/>
    <w:rsid w:val="000D5DA6"/>
    <w:rsid w:val="000D698D"/>
    <w:rsid w:val="000E07F1"/>
    <w:rsid w:val="000E2596"/>
    <w:rsid w:val="000E344B"/>
    <w:rsid w:val="000F1424"/>
    <w:rsid w:val="000F172D"/>
    <w:rsid w:val="000F236B"/>
    <w:rsid w:val="000F28A5"/>
    <w:rsid w:val="000F4D30"/>
    <w:rsid w:val="000F7008"/>
    <w:rsid w:val="00100A14"/>
    <w:rsid w:val="0010151B"/>
    <w:rsid w:val="0010228B"/>
    <w:rsid w:val="001045CB"/>
    <w:rsid w:val="00104C41"/>
    <w:rsid w:val="00110780"/>
    <w:rsid w:val="00116761"/>
    <w:rsid w:val="0011681F"/>
    <w:rsid w:val="00117EA8"/>
    <w:rsid w:val="00122F9B"/>
    <w:rsid w:val="001251F5"/>
    <w:rsid w:val="00126266"/>
    <w:rsid w:val="00133AD0"/>
    <w:rsid w:val="00133FB9"/>
    <w:rsid w:val="00134E3A"/>
    <w:rsid w:val="00137630"/>
    <w:rsid w:val="00142D37"/>
    <w:rsid w:val="00143661"/>
    <w:rsid w:val="0014709D"/>
    <w:rsid w:val="00153A56"/>
    <w:rsid w:val="00155D7B"/>
    <w:rsid w:val="00157011"/>
    <w:rsid w:val="0016225B"/>
    <w:rsid w:val="001624B5"/>
    <w:rsid w:val="00162D57"/>
    <w:rsid w:val="00162F82"/>
    <w:rsid w:val="001639C7"/>
    <w:rsid w:val="00165C5A"/>
    <w:rsid w:val="00167E53"/>
    <w:rsid w:val="00172DFB"/>
    <w:rsid w:val="00173AE6"/>
    <w:rsid w:val="00174D39"/>
    <w:rsid w:val="00174DEC"/>
    <w:rsid w:val="0017663C"/>
    <w:rsid w:val="001766E5"/>
    <w:rsid w:val="00176A04"/>
    <w:rsid w:val="001770B8"/>
    <w:rsid w:val="001776D7"/>
    <w:rsid w:val="00177F22"/>
    <w:rsid w:val="001835F3"/>
    <w:rsid w:val="00184455"/>
    <w:rsid w:val="00186F52"/>
    <w:rsid w:val="00187E47"/>
    <w:rsid w:val="00190A8D"/>
    <w:rsid w:val="0019386D"/>
    <w:rsid w:val="001959C0"/>
    <w:rsid w:val="00195A72"/>
    <w:rsid w:val="001A1210"/>
    <w:rsid w:val="001A269A"/>
    <w:rsid w:val="001A290B"/>
    <w:rsid w:val="001A2AED"/>
    <w:rsid w:val="001A3359"/>
    <w:rsid w:val="001A3452"/>
    <w:rsid w:val="001A5341"/>
    <w:rsid w:val="001B0C17"/>
    <w:rsid w:val="001B254C"/>
    <w:rsid w:val="001B6837"/>
    <w:rsid w:val="001B6890"/>
    <w:rsid w:val="001C4EFE"/>
    <w:rsid w:val="001C6FD1"/>
    <w:rsid w:val="001C75F9"/>
    <w:rsid w:val="001C7F2E"/>
    <w:rsid w:val="001D0E1D"/>
    <w:rsid w:val="001D2539"/>
    <w:rsid w:val="001D2BB3"/>
    <w:rsid w:val="001D7431"/>
    <w:rsid w:val="001D754A"/>
    <w:rsid w:val="001E0C78"/>
    <w:rsid w:val="001E704B"/>
    <w:rsid w:val="001F134C"/>
    <w:rsid w:val="001F7560"/>
    <w:rsid w:val="00201EC7"/>
    <w:rsid w:val="00203875"/>
    <w:rsid w:val="00205F8C"/>
    <w:rsid w:val="00210FDA"/>
    <w:rsid w:val="002110A8"/>
    <w:rsid w:val="00214116"/>
    <w:rsid w:val="00216920"/>
    <w:rsid w:val="002201FE"/>
    <w:rsid w:val="00220CAC"/>
    <w:rsid w:val="002319D4"/>
    <w:rsid w:val="00234F88"/>
    <w:rsid w:val="00243498"/>
    <w:rsid w:val="00243BA9"/>
    <w:rsid w:val="00244193"/>
    <w:rsid w:val="00247C75"/>
    <w:rsid w:val="00250525"/>
    <w:rsid w:val="002514F4"/>
    <w:rsid w:val="00251B9C"/>
    <w:rsid w:val="00253E97"/>
    <w:rsid w:val="00254D19"/>
    <w:rsid w:val="0025565E"/>
    <w:rsid w:val="00260BAB"/>
    <w:rsid w:val="00260E05"/>
    <w:rsid w:val="00260F7E"/>
    <w:rsid w:val="00263018"/>
    <w:rsid w:val="00264BC0"/>
    <w:rsid w:val="002670DE"/>
    <w:rsid w:val="00270459"/>
    <w:rsid w:val="00270905"/>
    <w:rsid w:val="0027500A"/>
    <w:rsid w:val="00275575"/>
    <w:rsid w:val="00276194"/>
    <w:rsid w:val="00281234"/>
    <w:rsid w:val="00283F30"/>
    <w:rsid w:val="002847DE"/>
    <w:rsid w:val="002862BD"/>
    <w:rsid w:val="002910D2"/>
    <w:rsid w:val="002944B8"/>
    <w:rsid w:val="002944DE"/>
    <w:rsid w:val="00295AF1"/>
    <w:rsid w:val="00296680"/>
    <w:rsid w:val="0029785A"/>
    <w:rsid w:val="002A118F"/>
    <w:rsid w:val="002A3630"/>
    <w:rsid w:val="002A39DE"/>
    <w:rsid w:val="002A3EFA"/>
    <w:rsid w:val="002A7410"/>
    <w:rsid w:val="002A74DD"/>
    <w:rsid w:val="002B2E79"/>
    <w:rsid w:val="002B57FB"/>
    <w:rsid w:val="002B7694"/>
    <w:rsid w:val="002B7D10"/>
    <w:rsid w:val="002C3863"/>
    <w:rsid w:val="002C3C89"/>
    <w:rsid w:val="002C3FA9"/>
    <w:rsid w:val="002C4892"/>
    <w:rsid w:val="002C4D2A"/>
    <w:rsid w:val="002C6EED"/>
    <w:rsid w:val="002D0D38"/>
    <w:rsid w:val="002D39A6"/>
    <w:rsid w:val="002D3E24"/>
    <w:rsid w:val="002D5C62"/>
    <w:rsid w:val="002D6FA1"/>
    <w:rsid w:val="002D704E"/>
    <w:rsid w:val="002E0E9B"/>
    <w:rsid w:val="002E18C4"/>
    <w:rsid w:val="002E2686"/>
    <w:rsid w:val="002E3EE3"/>
    <w:rsid w:val="002E64EB"/>
    <w:rsid w:val="002E685B"/>
    <w:rsid w:val="002F107B"/>
    <w:rsid w:val="002F24C4"/>
    <w:rsid w:val="002F29BE"/>
    <w:rsid w:val="002F4B17"/>
    <w:rsid w:val="002F6D3E"/>
    <w:rsid w:val="00301072"/>
    <w:rsid w:val="00303525"/>
    <w:rsid w:val="00306A60"/>
    <w:rsid w:val="00306DBB"/>
    <w:rsid w:val="00311241"/>
    <w:rsid w:val="0031138B"/>
    <w:rsid w:val="00314CA4"/>
    <w:rsid w:val="00322829"/>
    <w:rsid w:val="00322FC6"/>
    <w:rsid w:val="0032310D"/>
    <w:rsid w:val="00323159"/>
    <w:rsid w:val="00326C6F"/>
    <w:rsid w:val="003329BA"/>
    <w:rsid w:val="00333431"/>
    <w:rsid w:val="00333F02"/>
    <w:rsid w:val="00334E6B"/>
    <w:rsid w:val="00335289"/>
    <w:rsid w:val="00336E00"/>
    <w:rsid w:val="00337F47"/>
    <w:rsid w:val="003414EF"/>
    <w:rsid w:val="00343FE7"/>
    <w:rsid w:val="00345024"/>
    <w:rsid w:val="00346180"/>
    <w:rsid w:val="003519EB"/>
    <w:rsid w:val="00352542"/>
    <w:rsid w:val="0035293D"/>
    <w:rsid w:val="00352CB3"/>
    <w:rsid w:val="003539BD"/>
    <w:rsid w:val="00354BEF"/>
    <w:rsid w:val="00362AF9"/>
    <w:rsid w:val="00362B5A"/>
    <w:rsid w:val="003639BA"/>
    <w:rsid w:val="00364A5C"/>
    <w:rsid w:val="00365C65"/>
    <w:rsid w:val="0036795F"/>
    <w:rsid w:val="0037327B"/>
    <w:rsid w:val="00376280"/>
    <w:rsid w:val="00376502"/>
    <w:rsid w:val="00382587"/>
    <w:rsid w:val="00383831"/>
    <w:rsid w:val="003845A5"/>
    <w:rsid w:val="0038523A"/>
    <w:rsid w:val="00385517"/>
    <w:rsid w:val="0038573E"/>
    <w:rsid w:val="003903B2"/>
    <w:rsid w:val="003913C4"/>
    <w:rsid w:val="003931E9"/>
    <w:rsid w:val="00396B4F"/>
    <w:rsid w:val="003A0374"/>
    <w:rsid w:val="003A17AD"/>
    <w:rsid w:val="003A263F"/>
    <w:rsid w:val="003A43AC"/>
    <w:rsid w:val="003A4F56"/>
    <w:rsid w:val="003B1CAA"/>
    <w:rsid w:val="003B1CD4"/>
    <w:rsid w:val="003B2771"/>
    <w:rsid w:val="003B28FA"/>
    <w:rsid w:val="003B43CD"/>
    <w:rsid w:val="003B5A27"/>
    <w:rsid w:val="003C0DC1"/>
    <w:rsid w:val="003C1570"/>
    <w:rsid w:val="003C210D"/>
    <w:rsid w:val="003C62F5"/>
    <w:rsid w:val="003C6733"/>
    <w:rsid w:val="003D117C"/>
    <w:rsid w:val="003D4D77"/>
    <w:rsid w:val="003D725E"/>
    <w:rsid w:val="003E0808"/>
    <w:rsid w:val="003E1287"/>
    <w:rsid w:val="003E711F"/>
    <w:rsid w:val="003E7564"/>
    <w:rsid w:val="003E7DBE"/>
    <w:rsid w:val="003F17E0"/>
    <w:rsid w:val="003F24F2"/>
    <w:rsid w:val="003F5548"/>
    <w:rsid w:val="003F6F5B"/>
    <w:rsid w:val="003F778E"/>
    <w:rsid w:val="004013FD"/>
    <w:rsid w:val="00403425"/>
    <w:rsid w:val="004077B3"/>
    <w:rsid w:val="00407D98"/>
    <w:rsid w:val="00407F0E"/>
    <w:rsid w:val="0041325C"/>
    <w:rsid w:val="004138DE"/>
    <w:rsid w:val="00414970"/>
    <w:rsid w:val="00415EF3"/>
    <w:rsid w:val="00416216"/>
    <w:rsid w:val="004171EA"/>
    <w:rsid w:val="00421116"/>
    <w:rsid w:val="0042320B"/>
    <w:rsid w:val="004242EB"/>
    <w:rsid w:val="00431C89"/>
    <w:rsid w:val="00433A29"/>
    <w:rsid w:val="00433C0B"/>
    <w:rsid w:val="00441293"/>
    <w:rsid w:val="004433E4"/>
    <w:rsid w:val="0044422D"/>
    <w:rsid w:val="00444E50"/>
    <w:rsid w:val="00444E6A"/>
    <w:rsid w:val="0044652B"/>
    <w:rsid w:val="00447934"/>
    <w:rsid w:val="00452F7F"/>
    <w:rsid w:val="00453396"/>
    <w:rsid w:val="00455467"/>
    <w:rsid w:val="0045621D"/>
    <w:rsid w:val="004575CD"/>
    <w:rsid w:val="004623E0"/>
    <w:rsid w:val="00463807"/>
    <w:rsid w:val="00465093"/>
    <w:rsid w:val="00466A2B"/>
    <w:rsid w:val="004751EC"/>
    <w:rsid w:val="00477054"/>
    <w:rsid w:val="0047715E"/>
    <w:rsid w:val="004773BC"/>
    <w:rsid w:val="00477C51"/>
    <w:rsid w:val="0048369B"/>
    <w:rsid w:val="00485331"/>
    <w:rsid w:val="00486B43"/>
    <w:rsid w:val="00490157"/>
    <w:rsid w:val="004917C9"/>
    <w:rsid w:val="00491E4D"/>
    <w:rsid w:val="00492627"/>
    <w:rsid w:val="00493F8A"/>
    <w:rsid w:val="00494007"/>
    <w:rsid w:val="0049532B"/>
    <w:rsid w:val="00496BBB"/>
    <w:rsid w:val="004A0965"/>
    <w:rsid w:val="004A1288"/>
    <w:rsid w:val="004A4FE0"/>
    <w:rsid w:val="004A5680"/>
    <w:rsid w:val="004A57E7"/>
    <w:rsid w:val="004B028B"/>
    <w:rsid w:val="004B3151"/>
    <w:rsid w:val="004B3FEB"/>
    <w:rsid w:val="004B771C"/>
    <w:rsid w:val="004C07BE"/>
    <w:rsid w:val="004C0DA3"/>
    <w:rsid w:val="004C0E81"/>
    <w:rsid w:val="004C2F88"/>
    <w:rsid w:val="004C315B"/>
    <w:rsid w:val="004C5476"/>
    <w:rsid w:val="004C74BD"/>
    <w:rsid w:val="004C798C"/>
    <w:rsid w:val="004C7B6F"/>
    <w:rsid w:val="004D25C5"/>
    <w:rsid w:val="004D57D5"/>
    <w:rsid w:val="004D5FB5"/>
    <w:rsid w:val="004D6C99"/>
    <w:rsid w:val="004E3B7D"/>
    <w:rsid w:val="004E4A64"/>
    <w:rsid w:val="004E4F48"/>
    <w:rsid w:val="004E5638"/>
    <w:rsid w:val="004F1A10"/>
    <w:rsid w:val="004F4581"/>
    <w:rsid w:val="004F5C1C"/>
    <w:rsid w:val="004F6E50"/>
    <w:rsid w:val="0050211F"/>
    <w:rsid w:val="0050278C"/>
    <w:rsid w:val="00507D05"/>
    <w:rsid w:val="005126CF"/>
    <w:rsid w:val="0051664A"/>
    <w:rsid w:val="005231C6"/>
    <w:rsid w:val="00523363"/>
    <w:rsid w:val="005243BC"/>
    <w:rsid w:val="00524874"/>
    <w:rsid w:val="00524CB8"/>
    <w:rsid w:val="005302C4"/>
    <w:rsid w:val="00532F82"/>
    <w:rsid w:val="00533D6B"/>
    <w:rsid w:val="00534A72"/>
    <w:rsid w:val="00534B31"/>
    <w:rsid w:val="00535E5D"/>
    <w:rsid w:val="00542A4F"/>
    <w:rsid w:val="00543E56"/>
    <w:rsid w:val="005448A0"/>
    <w:rsid w:val="00545D26"/>
    <w:rsid w:val="00546770"/>
    <w:rsid w:val="00546DC0"/>
    <w:rsid w:val="005516E8"/>
    <w:rsid w:val="005520BD"/>
    <w:rsid w:val="0055405D"/>
    <w:rsid w:val="00555039"/>
    <w:rsid w:val="005568AC"/>
    <w:rsid w:val="00557951"/>
    <w:rsid w:val="00557E6A"/>
    <w:rsid w:val="00562A84"/>
    <w:rsid w:val="005652DD"/>
    <w:rsid w:val="00570B0B"/>
    <w:rsid w:val="0057105A"/>
    <w:rsid w:val="00572EB9"/>
    <w:rsid w:val="00574EFF"/>
    <w:rsid w:val="0057568D"/>
    <w:rsid w:val="00580F76"/>
    <w:rsid w:val="00582ACD"/>
    <w:rsid w:val="00582C1D"/>
    <w:rsid w:val="005851AD"/>
    <w:rsid w:val="005901EB"/>
    <w:rsid w:val="00592D5D"/>
    <w:rsid w:val="005A214A"/>
    <w:rsid w:val="005A23DC"/>
    <w:rsid w:val="005A3E95"/>
    <w:rsid w:val="005A4362"/>
    <w:rsid w:val="005A657C"/>
    <w:rsid w:val="005A6DF2"/>
    <w:rsid w:val="005A7AF2"/>
    <w:rsid w:val="005B2D56"/>
    <w:rsid w:val="005B4BE6"/>
    <w:rsid w:val="005B5D98"/>
    <w:rsid w:val="005C0B23"/>
    <w:rsid w:val="005C1995"/>
    <w:rsid w:val="005C3254"/>
    <w:rsid w:val="005C3DD8"/>
    <w:rsid w:val="005C4051"/>
    <w:rsid w:val="005C5DDC"/>
    <w:rsid w:val="005C73E3"/>
    <w:rsid w:val="005C79E0"/>
    <w:rsid w:val="005D030D"/>
    <w:rsid w:val="005D51A4"/>
    <w:rsid w:val="005E0526"/>
    <w:rsid w:val="005E0B5D"/>
    <w:rsid w:val="005E3556"/>
    <w:rsid w:val="005E400C"/>
    <w:rsid w:val="005E5388"/>
    <w:rsid w:val="005E590F"/>
    <w:rsid w:val="005F0849"/>
    <w:rsid w:val="005F3AD5"/>
    <w:rsid w:val="005F3E2C"/>
    <w:rsid w:val="006008E8"/>
    <w:rsid w:val="00605BF4"/>
    <w:rsid w:val="00606378"/>
    <w:rsid w:val="00606AA1"/>
    <w:rsid w:val="006116FB"/>
    <w:rsid w:val="0061243D"/>
    <w:rsid w:val="00612FD7"/>
    <w:rsid w:val="006141AD"/>
    <w:rsid w:val="00615D42"/>
    <w:rsid w:val="00616EC3"/>
    <w:rsid w:val="00617242"/>
    <w:rsid w:val="00621A87"/>
    <w:rsid w:val="00624A21"/>
    <w:rsid w:val="00625DC0"/>
    <w:rsid w:val="00627A49"/>
    <w:rsid w:val="00633EAB"/>
    <w:rsid w:val="00634E90"/>
    <w:rsid w:val="00636FBB"/>
    <w:rsid w:val="0063748A"/>
    <w:rsid w:val="00637C80"/>
    <w:rsid w:val="00640874"/>
    <w:rsid w:val="00641C9F"/>
    <w:rsid w:val="00641D1E"/>
    <w:rsid w:val="00645945"/>
    <w:rsid w:val="00647BF7"/>
    <w:rsid w:val="00652E3F"/>
    <w:rsid w:val="006531DE"/>
    <w:rsid w:val="00653309"/>
    <w:rsid w:val="00654D01"/>
    <w:rsid w:val="00655D14"/>
    <w:rsid w:val="006566B1"/>
    <w:rsid w:val="0066097D"/>
    <w:rsid w:val="00660C99"/>
    <w:rsid w:val="00662236"/>
    <w:rsid w:val="00663EF5"/>
    <w:rsid w:val="00664B4E"/>
    <w:rsid w:val="006661C0"/>
    <w:rsid w:val="00675305"/>
    <w:rsid w:val="006770F2"/>
    <w:rsid w:val="006830F7"/>
    <w:rsid w:val="006930B2"/>
    <w:rsid w:val="0069440C"/>
    <w:rsid w:val="006A01CA"/>
    <w:rsid w:val="006A0448"/>
    <w:rsid w:val="006A0D92"/>
    <w:rsid w:val="006A0EC0"/>
    <w:rsid w:val="006A144D"/>
    <w:rsid w:val="006A2F5E"/>
    <w:rsid w:val="006A4431"/>
    <w:rsid w:val="006A6887"/>
    <w:rsid w:val="006B1164"/>
    <w:rsid w:val="006B1BFF"/>
    <w:rsid w:val="006B1CC5"/>
    <w:rsid w:val="006B3541"/>
    <w:rsid w:val="006B3E7F"/>
    <w:rsid w:val="006B64B8"/>
    <w:rsid w:val="006B6CF6"/>
    <w:rsid w:val="006B78FE"/>
    <w:rsid w:val="006C2CB1"/>
    <w:rsid w:val="006C2DA0"/>
    <w:rsid w:val="006C4CE5"/>
    <w:rsid w:val="006C5250"/>
    <w:rsid w:val="006D3553"/>
    <w:rsid w:val="006D3C9C"/>
    <w:rsid w:val="006D5FBE"/>
    <w:rsid w:val="006D7E43"/>
    <w:rsid w:val="006E2A33"/>
    <w:rsid w:val="006E3450"/>
    <w:rsid w:val="006E63E7"/>
    <w:rsid w:val="006E6F8E"/>
    <w:rsid w:val="006F0470"/>
    <w:rsid w:val="006F5383"/>
    <w:rsid w:val="006F56E1"/>
    <w:rsid w:val="006F5951"/>
    <w:rsid w:val="006F69ED"/>
    <w:rsid w:val="00704E99"/>
    <w:rsid w:val="00705FEC"/>
    <w:rsid w:val="00706D2E"/>
    <w:rsid w:val="007103B7"/>
    <w:rsid w:val="007107FC"/>
    <w:rsid w:val="00710B32"/>
    <w:rsid w:val="00711988"/>
    <w:rsid w:val="00717F7C"/>
    <w:rsid w:val="00721A16"/>
    <w:rsid w:val="00722E73"/>
    <w:rsid w:val="007230EC"/>
    <w:rsid w:val="00724687"/>
    <w:rsid w:val="007310E5"/>
    <w:rsid w:val="00731CA0"/>
    <w:rsid w:val="00732AA2"/>
    <w:rsid w:val="00732E73"/>
    <w:rsid w:val="00733696"/>
    <w:rsid w:val="00736AB7"/>
    <w:rsid w:val="00736FF2"/>
    <w:rsid w:val="00745B7A"/>
    <w:rsid w:val="007505CF"/>
    <w:rsid w:val="00750655"/>
    <w:rsid w:val="00754F4A"/>
    <w:rsid w:val="007567F7"/>
    <w:rsid w:val="0076034B"/>
    <w:rsid w:val="00761C8A"/>
    <w:rsid w:val="007632C3"/>
    <w:rsid w:val="007639A2"/>
    <w:rsid w:val="007667CD"/>
    <w:rsid w:val="0077001A"/>
    <w:rsid w:val="00777395"/>
    <w:rsid w:val="007817B4"/>
    <w:rsid w:val="00782903"/>
    <w:rsid w:val="00793DF8"/>
    <w:rsid w:val="007964A6"/>
    <w:rsid w:val="0079661A"/>
    <w:rsid w:val="00797276"/>
    <w:rsid w:val="007A0A98"/>
    <w:rsid w:val="007A6DD1"/>
    <w:rsid w:val="007A742F"/>
    <w:rsid w:val="007A7F19"/>
    <w:rsid w:val="007B01F6"/>
    <w:rsid w:val="007B1000"/>
    <w:rsid w:val="007B12B8"/>
    <w:rsid w:val="007B3546"/>
    <w:rsid w:val="007B3A40"/>
    <w:rsid w:val="007B60A4"/>
    <w:rsid w:val="007B7DF1"/>
    <w:rsid w:val="007C130B"/>
    <w:rsid w:val="007C166B"/>
    <w:rsid w:val="007C24E7"/>
    <w:rsid w:val="007C26AA"/>
    <w:rsid w:val="007C2C8B"/>
    <w:rsid w:val="007C4506"/>
    <w:rsid w:val="007C613F"/>
    <w:rsid w:val="007C6C23"/>
    <w:rsid w:val="007D0CA5"/>
    <w:rsid w:val="007D1C9A"/>
    <w:rsid w:val="007D1D01"/>
    <w:rsid w:val="007D3BE7"/>
    <w:rsid w:val="007D406C"/>
    <w:rsid w:val="007D47ED"/>
    <w:rsid w:val="007D4F91"/>
    <w:rsid w:val="007D6C27"/>
    <w:rsid w:val="007E19C9"/>
    <w:rsid w:val="007E497B"/>
    <w:rsid w:val="007E50D9"/>
    <w:rsid w:val="007E6CBC"/>
    <w:rsid w:val="007E773D"/>
    <w:rsid w:val="007F1C29"/>
    <w:rsid w:val="007F20C0"/>
    <w:rsid w:val="007F4C06"/>
    <w:rsid w:val="007F5BC8"/>
    <w:rsid w:val="007F6D4A"/>
    <w:rsid w:val="007F6DC0"/>
    <w:rsid w:val="007F7920"/>
    <w:rsid w:val="00800717"/>
    <w:rsid w:val="008011A4"/>
    <w:rsid w:val="00801C34"/>
    <w:rsid w:val="00802E4E"/>
    <w:rsid w:val="00804B35"/>
    <w:rsid w:val="00807065"/>
    <w:rsid w:val="00811BAB"/>
    <w:rsid w:val="008139A4"/>
    <w:rsid w:val="008152D9"/>
    <w:rsid w:val="008160B8"/>
    <w:rsid w:val="008233D0"/>
    <w:rsid w:val="00826014"/>
    <w:rsid w:val="008304BE"/>
    <w:rsid w:val="0083100D"/>
    <w:rsid w:val="00832404"/>
    <w:rsid w:val="00832D3D"/>
    <w:rsid w:val="008330A2"/>
    <w:rsid w:val="00835E9C"/>
    <w:rsid w:val="008407C6"/>
    <w:rsid w:val="00841482"/>
    <w:rsid w:val="00841AF2"/>
    <w:rsid w:val="008469E4"/>
    <w:rsid w:val="00846E39"/>
    <w:rsid w:val="00847553"/>
    <w:rsid w:val="00850875"/>
    <w:rsid w:val="00850DB4"/>
    <w:rsid w:val="0085507E"/>
    <w:rsid w:val="008574CD"/>
    <w:rsid w:val="0086201B"/>
    <w:rsid w:val="00863152"/>
    <w:rsid w:val="0086563C"/>
    <w:rsid w:val="00866240"/>
    <w:rsid w:val="00866358"/>
    <w:rsid w:val="00870FBE"/>
    <w:rsid w:val="008733A7"/>
    <w:rsid w:val="008734B8"/>
    <w:rsid w:val="0087480E"/>
    <w:rsid w:val="00875A46"/>
    <w:rsid w:val="00876CEC"/>
    <w:rsid w:val="00880109"/>
    <w:rsid w:val="00881450"/>
    <w:rsid w:val="00883146"/>
    <w:rsid w:val="00884891"/>
    <w:rsid w:val="00884A89"/>
    <w:rsid w:val="00886F5A"/>
    <w:rsid w:val="00887E25"/>
    <w:rsid w:val="00892592"/>
    <w:rsid w:val="00892B7A"/>
    <w:rsid w:val="00893203"/>
    <w:rsid w:val="00893D99"/>
    <w:rsid w:val="0089590B"/>
    <w:rsid w:val="00897391"/>
    <w:rsid w:val="00897EB2"/>
    <w:rsid w:val="008A0B8D"/>
    <w:rsid w:val="008A333D"/>
    <w:rsid w:val="008A4DD2"/>
    <w:rsid w:val="008A50F5"/>
    <w:rsid w:val="008B0A99"/>
    <w:rsid w:val="008B0EFF"/>
    <w:rsid w:val="008B11DC"/>
    <w:rsid w:val="008B2264"/>
    <w:rsid w:val="008B2F4C"/>
    <w:rsid w:val="008B3F38"/>
    <w:rsid w:val="008B438C"/>
    <w:rsid w:val="008B5AF2"/>
    <w:rsid w:val="008B6198"/>
    <w:rsid w:val="008B69FE"/>
    <w:rsid w:val="008B6A53"/>
    <w:rsid w:val="008C0513"/>
    <w:rsid w:val="008C4996"/>
    <w:rsid w:val="008C4F81"/>
    <w:rsid w:val="008C6078"/>
    <w:rsid w:val="008C7AAD"/>
    <w:rsid w:val="008D0413"/>
    <w:rsid w:val="008D0F89"/>
    <w:rsid w:val="008D4244"/>
    <w:rsid w:val="008D47FF"/>
    <w:rsid w:val="008D63C9"/>
    <w:rsid w:val="008D66BE"/>
    <w:rsid w:val="008D7F5D"/>
    <w:rsid w:val="008E0053"/>
    <w:rsid w:val="008E044F"/>
    <w:rsid w:val="008E2DC0"/>
    <w:rsid w:val="008F16CE"/>
    <w:rsid w:val="008F1BF6"/>
    <w:rsid w:val="008F3521"/>
    <w:rsid w:val="008F4036"/>
    <w:rsid w:val="008F59AB"/>
    <w:rsid w:val="008F7033"/>
    <w:rsid w:val="008F709E"/>
    <w:rsid w:val="008F7379"/>
    <w:rsid w:val="008F7651"/>
    <w:rsid w:val="008F7678"/>
    <w:rsid w:val="00900469"/>
    <w:rsid w:val="0090112D"/>
    <w:rsid w:val="0090113C"/>
    <w:rsid w:val="00902BF0"/>
    <w:rsid w:val="00903BE7"/>
    <w:rsid w:val="0090427A"/>
    <w:rsid w:val="00904DA4"/>
    <w:rsid w:val="00906299"/>
    <w:rsid w:val="00907384"/>
    <w:rsid w:val="00911205"/>
    <w:rsid w:val="009112C3"/>
    <w:rsid w:val="00912D6B"/>
    <w:rsid w:val="00912E3C"/>
    <w:rsid w:val="00913BC6"/>
    <w:rsid w:val="009155F7"/>
    <w:rsid w:val="00915656"/>
    <w:rsid w:val="009172F5"/>
    <w:rsid w:val="00917AF6"/>
    <w:rsid w:val="00917F34"/>
    <w:rsid w:val="00920057"/>
    <w:rsid w:val="00920824"/>
    <w:rsid w:val="00924E7E"/>
    <w:rsid w:val="00924F14"/>
    <w:rsid w:val="009263E3"/>
    <w:rsid w:val="009324E1"/>
    <w:rsid w:val="0093433E"/>
    <w:rsid w:val="0093435F"/>
    <w:rsid w:val="00934E2E"/>
    <w:rsid w:val="00934EA1"/>
    <w:rsid w:val="0093530F"/>
    <w:rsid w:val="0093560D"/>
    <w:rsid w:val="00935CEF"/>
    <w:rsid w:val="00936391"/>
    <w:rsid w:val="0094092F"/>
    <w:rsid w:val="009412DD"/>
    <w:rsid w:val="00941E77"/>
    <w:rsid w:val="00941E7B"/>
    <w:rsid w:val="00942425"/>
    <w:rsid w:val="00942A80"/>
    <w:rsid w:val="00943877"/>
    <w:rsid w:val="009508D1"/>
    <w:rsid w:val="0095148E"/>
    <w:rsid w:val="00951610"/>
    <w:rsid w:val="0095276D"/>
    <w:rsid w:val="00957C3A"/>
    <w:rsid w:val="00961817"/>
    <w:rsid w:val="0096182E"/>
    <w:rsid w:val="009645F1"/>
    <w:rsid w:val="00965FD2"/>
    <w:rsid w:val="00966204"/>
    <w:rsid w:val="0097241E"/>
    <w:rsid w:val="009727E5"/>
    <w:rsid w:val="00973639"/>
    <w:rsid w:val="00976D03"/>
    <w:rsid w:val="009802A9"/>
    <w:rsid w:val="009810DA"/>
    <w:rsid w:val="00981D4F"/>
    <w:rsid w:val="00983A02"/>
    <w:rsid w:val="00985540"/>
    <w:rsid w:val="009856DC"/>
    <w:rsid w:val="00985E1D"/>
    <w:rsid w:val="009862E6"/>
    <w:rsid w:val="009903E7"/>
    <w:rsid w:val="00991C5B"/>
    <w:rsid w:val="00992F22"/>
    <w:rsid w:val="00996996"/>
    <w:rsid w:val="009A06AC"/>
    <w:rsid w:val="009A2345"/>
    <w:rsid w:val="009A4710"/>
    <w:rsid w:val="009A4D1D"/>
    <w:rsid w:val="009A4DB3"/>
    <w:rsid w:val="009A5935"/>
    <w:rsid w:val="009A7ECE"/>
    <w:rsid w:val="009B094B"/>
    <w:rsid w:val="009B17D9"/>
    <w:rsid w:val="009B2324"/>
    <w:rsid w:val="009B78C8"/>
    <w:rsid w:val="009C0F68"/>
    <w:rsid w:val="009C493E"/>
    <w:rsid w:val="009C6260"/>
    <w:rsid w:val="009C73EC"/>
    <w:rsid w:val="009D321D"/>
    <w:rsid w:val="009D46CD"/>
    <w:rsid w:val="009D46F1"/>
    <w:rsid w:val="009D60EA"/>
    <w:rsid w:val="009D7CEB"/>
    <w:rsid w:val="009E0E90"/>
    <w:rsid w:val="009E7D59"/>
    <w:rsid w:val="009F2224"/>
    <w:rsid w:val="009F39F1"/>
    <w:rsid w:val="009F68AD"/>
    <w:rsid w:val="00A03389"/>
    <w:rsid w:val="00A04117"/>
    <w:rsid w:val="00A0473A"/>
    <w:rsid w:val="00A06716"/>
    <w:rsid w:val="00A067EA"/>
    <w:rsid w:val="00A06B4E"/>
    <w:rsid w:val="00A10430"/>
    <w:rsid w:val="00A10D2C"/>
    <w:rsid w:val="00A12E16"/>
    <w:rsid w:val="00A1348B"/>
    <w:rsid w:val="00A135DB"/>
    <w:rsid w:val="00A16466"/>
    <w:rsid w:val="00A16553"/>
    <w:rsid w:val="00A16D30"/>
    <w:rsid w:val="00A172CC"/>
    <w:rsid w:val="00A17EAC"/>
    <w:rsid w:val="00A243F5"/>
    <w:rsid w:val="00A2504E"/>
    <w:rsid w:val="00A25B76"/>
    <w:rsid w:val="00A303A3"/>
    <w:rsid w:val="00A32844"/>
    <w:rsid w:val="00A34102"/>
    <w:rsid w:val="00A376EB"/>
    <w:rsid w:val="00A40D91"/>
    <w:rsid w:val="00A42235"/>
    <w:rsid w:val="00A43FE5"/>
    <w:rsid w:val="00A445D2"/>
    <w:rsid w:val="00A449AF"/>
    <w:rsid w:val="00A46043"/>
    <w:rsid w:val="00A50622"/>
    <w:rsid w:val="00A51BD1"/>
    <w:rsid w:val="00A5322A"/>
    <w:rsid w:val="00A55E52"/>
    <w:rsid w:val="00A575B0"/>
    <w:rsid w:val="00A6039E"/>
    <w:rsid w:val="00A60B4B"/>
    <w:rsid w:val="00A61B2C"/>
    <w:rsid w:val="00A6430F"/>
    <w:rsid w:val="00A64E70"/>
    <w:rsid w:val="00A67EFA"/>
    <w:rsid w:val="00A71470"/>
    <w:rsid w:val="00A728B0"/>
    <w:rsid w:val="00A73E2A"/>
    <w:rsid w:val="00A761EA"/>
    <w:rsid w:val="00A76358"/>
    <w:rsid w:val="00A7748C"/>
    <w:rsid w:val="00A8259C"/>
    <w:rsid w:val="00A82A93"/>
    <w:rsid w:val="00A833CE"/>
    <w:rsid w:val="00A83627"/>
    <w:rsid w:val="00A87494"/>
    <w:rsid w:val="00A877B0"/>
    <w:rsid w:val="00A87BD1"/>
    <w:rsid w:val="00A87CFD"/>
    <w:rsid w:val="00A9065F"/>
    <w:rsid w:val="00A916D1"/>
    <w:rsid w:val="00A949CC"/>
    <w:rsid w:val="00A94F66"/>
    <w:rsid w:val="00A97F3B"/>
    <w:rsid w:val="00AA0041"/>
    <w:rsid w:val="00AA0728"/>
    <w:rsid w:val="00AA3496"/>
    <w:rsid w:val="00AA388A"/>
    <w:rsid w:val="00AA472A"/>
    <w:rsid w:val="00AA5285"/>
    <w:rsid w:val="00AA5C0B"/>
    <w:rsid w:val="00AA6B04"/>
    <w:rsid w:val="00AB167E"/>
    <w:rsid w:val="00AB4909"/>
    <w:rsid w:val="00AB52D6"/>
    <w:rsid w:val="00AB5520"/>
    <w:rsid w:val="00AB5DF8"/>
    <w:rsid w:val="00AB700F"/>
    <w:rsid w:val="00AC02DE"/>
    <w:rsid w:val="00AC0324"/>
    <w:rsid w:val="00AC1B0C"/>
    <w:rsid w:val="00AC4577"/>
    <w:rsid w:val="00AC50EA"/>
    <w:rsid w:val="00AC7039"/>
    <w:rsid w:val="00AD1EE0"/>
    <w:rsid w:val="00AD6DF8"/>
    <w:rsid w:val="00AE0806"/>
    <w:rsid w:val="00AE438E"/>
    <w:rsid w:val="00AE5420"/>
    <w:rsid w:val="00AE657F"/>
    <w:rsid w:val="00AE799F"/>
    <w:rsid w:val="00AF0740"/>
    <w:rsid w:val="00AF3B1C"/>
    <w:rsid w:val="00AF40E2"/>
    <w:rsid w:val="00AF6408"/>
    <w:rsid w:val="00B029F0"/>
    <w:rsid w:val="00B03A1F"/>
    <w:rsid w:val="00B04BC6"/>
    <w:rsid w:val="00B07453"/>
    <w:rsid w:val="00B134A5"/>
    <w:rsid w:val="00B14E5C"/>
    <w:rsid w:val="00B15165"/>
    <w:rsid w:val="00B157A9"/>
    <w:rsid w:val="00B17295"/>
    <w:rsid w:val="00B17629"/>
    <w:rsid w:val="00B21C22"/>
    <w:rsid w:val="00B222F0"/>
    <w:rsid w:val="00B2497D"/>
    <w:rsid w:val="00B2540D"/>
    <w:rsid w:val="00B27795"/>
    <w:rsid w:val="00B32898"/>
    <w:rsid w:val="00B3411B"/>
    <w:rsid w:val="00B402AE"/>
    <w:rsid w:val="00B40CA3"/>
    <w:rsid w:val="00B45880"/>
    <w:rsid w:val="00B46979"/>
    <w:rsid w:val="00B46CC7"/>
    <w:rsid w:val="00B51131"/>
    <w:rsid w:val="00B53F23"/>
    <w:rsid w:val="00B54487"/>
    <w:rsid w:val="00B55F9F"/>
    <w:rsid w:val="00B56F33"/>
    <w:rsid w:val="00B57341"/>
    <w:rsid w:val="00B6099C"/>
    <w:rsid w:val="00B626EF"/>
    <w:rsid w:val="00B6492C"/>
    <w:rsid w:val="00B652E1"/>
    <w:rsid w:val="00B661B1"/>
    <w:rsid w:val="00B717F7"/>
    <w:rsid w:val="00B74E26"/>
    <w:rsid w:val="00B7545E"/>
    <w:rsid w:val="00B758E5"/>
    <w:rsid w:val="00B7594F"/>
    <w:rsid w:val="00B75A84"/>
    <w:rsid w:val="00B8285D"/>
    <w:rsid w:val="00B832C4"/>
    <w:rsid w:val="00B914D1"/>
    <w:rsid w:val="00B9269D"/>
    <w:rsid w:val="00B92B0F"/>
    <w:rsid w:val="00B93AEE"/>
    <w:rsid w:val="00B94D83"/>
    <w:rsid w:val="00B97C03"/>
    <w:rsid w:val="00BA0748"/>
    <w:rsid w:val="00BA15D8"/>
    <w:rsid w:val="00BA17E9"/>
    <w:rsid w:val="00BA1FD1"/>
    <w:rsid w:val="00BA4CAA"/>
    <w:rsid w:val="00BA64F6"/>
    <w:rsid w:val="00BA7F64"/>
    <w:rsid w:val="00BB1E7E"/>
    <w:rsid w:val="00BB4B92"/>
    <w:rsid w:val="00BB4C11"/>
    <w:rsid w:val="00BB6C20"/>
    <w:rsid w:val="00BC144F"/>
    <w:rsid w:val="00BC44FB"/>
    <w:rsid w:val="00BD27C5"/>
    <w:rsid w:val="00BD40F1"/>
    <w:rsid w:val="00BD60C9"/>
    <w:rsid w:val="00BD61F7"/>
    <w:rsid w:val="00BE0851"/>
    <w:rsid w:val="00BE0CF0"/>
    <w:rsid w:val="00BE0E51"/>
    <w:rsid w:val="00BE1C09"/>
    <w:rsid w:val="00BE2D9F"/>
    <w:rsid w:val="00BE40A7"/>
    <w:rsid w:val="00BE42FA"/>
    <w:rsid w:val="00BE5A85"/>
    <w:rsid w:val="00BE68A0"/>
    <w:rsid w:val="00BF01FA"/>
    <w:rsid w:val="00BF1CEA"/>
    <w:rsid w:val="00BF337F"/>
    <w:rsid w:val="00BF3715"/>
    <w:rsid w:val="00BF7D2F"/>
    <w:rsid w:val="00C00608"/>
    <w:rsid w:val="00C01C91"/>
    <w:rsid w:val="00C02345"/>
    <w:rsid w:val="00C03E28"/>
    <w:rsid w:val="00C041F6"/>
    <w:rsid w:val="00C04997"/>
    <w:rsid w:val="00C04AC5"/>
    <w:rsid w:val="00C06729"/>
    <w:rsid w:val="00C102DE"/>
    <w:rsid w:val="00C126A0"/>
    <w:rsid w:val="00C20016"/>
    <w:rsid w:val="00C2022A"/>
    <w:rsid w:val="00C20CAF"/>
    <w:rsid w:val="00C21A03"/>
    <w:rsid w:val="00C22D00"/>
    <w:rsid w:val="00C30902"/>
    <w:rsid w:val="00C31D63"/>
    <w:rsid w:val="00C32E5F"/>
    <w:rsid w:val="00C372C6"/>
    <w:rsid w:val="00C40DAD"/>
    <w:rsid w:val="00C40F64"/>
    <w:rsid w:val="00C4125B"/>
    <w:rsid w:val="00C41B49"/>
    <w:rsid w:val="00C46C81"/>
    <w:rsid w:val="00C50A1A"/>
    <w:rsid w:val="00C50B57"/>
    <w:rsid w:val="00C51A89"/>
    <w:rsid w:val="00C539D3"/>
    <w:rsid w:val="00C54D01"/>
    <w:rsid w:val="00C553A2"/>
    <w:rsid w:val="00C57393"/>
    <w:rsid w:val="00C612A4"/>
    <w:rsid w:val="00C61455"/>
    <w:rsid w:val="00C657B5"/>
    <w:rsid w:val="00C70EFA"/>
    <w:rsid w:val="00C72957"/>
    <w:rsid w:val="00C72C07"/>
    <w:rsid w:val="00C73DCB"/>
    <w:rsid w:val="00C74953"/>
    <w:rsid w:val="00C7521F"/>
    <w:rsid w:val="00C771C4"/>
    <w:rsid w:val="00C83B18"/>
    <w:rsid w:val="00C84BDA"/>
    <w:rsid w:val="00C86043"/>
    <w:rsid w:val="00C864CF"/>
    <w:rsid w:val="00C90723"/>
    <w:rsid w:val="00C92DF3"/>
    <w:rsid w:val="00C930E6"/>
    <w:rsid w:val="00C93654"/>
    <w:rsid w:val="00C96081"/>
    <w:rsid w:val="00C96A58"/>
    <w:rsid w:val="00C971E6"/>
    <w:rsid w:val="00C97CE9"/>
    <w:rsid w:val="00CA0A0F"/>
    <w:rsid w:val="00CA0F85"/>
    <w:rsid w:val="00CA28A1"/>
    <w:rsid w:val="00CA3BDC"/>
    <w:rsid w:val="00CA72DF"/>
    <w:rsid w:val="00CB096A"/>
    <w:rsid w:val="00CB2B71"/>
    <w:rsid w:val="00CB352A"/>
    <w:rsid w:val="00CB5119"/>
    <w:rsid w:val="00CB5E24"/>
    <w:rsid w:val="00CB5F39"/>
    <w:rsid w:val="00CC1562"/>
    <w:rsid w:val="00CC289D"/>
    <w:rsid w:val="00CC2BED"/>
    <w:rsid w:val="00CC7045"/>
    <w:rsid w:val="00CD036A"/>
    <w:rsid w:val="00CD2A08"/>
    <w:rsid w:val="00CD5FE3"/>
    <w:rsid w:val="00CD68DF"/>
    <w:rsid w:val="00CD6AD1"/>
    <w:rsid w:val="00CD7ADA"/>
    <w:rsid w:val="00CE1922"/>
    <w:rsid w:val="00CE2419"/>
    <w:rsid w:val="00CE2B63"/>
    <w:rsid w:val="00CE3098"/>
    <w:rsid w:val="00CE62B2"/>
    <w:rsid w:val="00CF07FA"/>
    <w:rsid w:val="00CF13CB"/>
    <w:rsid w:val="00CF1FF9"/>
    <w:rsid w:val="00CF27AB"/>
    <w:rsid w:val="00CF5D30"/>
    <w:rsid w:val="00CF6EEE"/>
    <w:rsid w:val="00D00167"/>
    <w:rsid w:val="00D04F95"/>
    <w:rsid w:val="00D077DA"/>
    <w:rsid w:val="00D07C7A"/>
    <w:rsid w:val="00D10362"/>
    <w:rsid w:val="00D10495"/>
    <w:rsid w:val="00D125B2"/>
    <w:rsid w:val="00D12822"/>
    <w:rsid w:val="00D1649A"/>
    <w:rsid w:val="00D2157F"/>
    <w:rsid w:val="00D217BD"/>
    <w:rsid w:val="00D233A1"/>
    <w:rsid w:val="00D262AC"/>
    <w:rsid w:val="00D30BCC"/>
    <w:rsid w:val="00D31C67"/>
    <w:rsid w:val="00D32418"/>
    <w:rsid w:val="00D4398E"/>
    <w:rsid w:val="00D4604B"/>
    <w:rsid w:val="00D468A2"/>
    <w:rsid w:val="00D47A13"/>
    <w:rsid w:val="00D51FF8"/>
    <w:rsid w:val="00D52655"/>
    <w:rsid w:val="00D5266E"/>
    <w:rsid w:val="00D535EE"/>
    <w:rsid w:val="00D5659D"/>
    <w:rsid w:val="00D61D19"/>
    <w:rsid w:val="00D6378A"/>
    <w:rsid w:val="00D6753E"/>
    <w:rsid w:val="00D71D55"/>
    <w:rsid w:val="00D729A3"/>
    <w:rsid w:val="00D807E6"/>
    <w:rsid w:val="00D80AC9"/>
    <w:rsid w:val="00D819C7"/>
    <w:rsid w:val="00D81C80"/>
    <w:rsid w:val="00D82A42"/>
    <w:rsid w:val="00D850F6"/>
    <w:rsid w:val="00D8570C"/>
    <w:rsid w:val="00D85AF1"/>
    <w:rsid w:val="00D86584"/>
    <w:rsid w:val="00D8696A"/>
    <w:rsid w:val="00D86B57"/>
    <w:rsid w:val="00D8747F"/>
    <w:rsid w:val="00D94C2A"/>
    <w:rsid w:val="00D961FE"/>
    <w:rsid w:val="00DA1C99"/>
    <w:rsid w:val="00DA3F50"/>
    <w:rsid w:val="00DA6C35"/>
    <w:rsid w:val="00DB2051"/>
    <w:rsid w:val="00DB2C77"/>
    <w:rsid w:val="00DB46CC"/>
    <w:rsid w:val="00DB4804"/>
    <w:rsid w:val="00DC0366"/>
    <w:rsid w:val="00DC0BC8"/>
    <w:rsid w:val="00DC0E44"/>
    <w:rsid w:val="00DC4BF0"/>
    <w:rsid w:val="00DC4F90"/>
    <w:rsid w:val="00DC5E15"/>
    <w:rsid w:val="00DC6930"/>
    <w:rsid w:val="00DC6A90"/>
    <w:rsid w:val="00DD1DDF"/>
    <w:rsid w:val="00DD2D4C"/>
    <w:rsid w:val="00DD4D91"/>
    <w:rsid w:val="00DD59F7"/>
    <w:rsid w:val="00DD71E5"/>
    <w:rsid w:val="00DD76BF"/>
    <w:rsid w:val="00DE122C"/>
    <w:rsid w:val="00DE2422"/>
    <w:rsid w:val="00DE7519"/>
    <w:rsid w:val="00DF3C5E"/>
    <w:rsid w:val="00DF592B"/>
    <w:rsid w:val="00E0385C"/>
    <w:rsid w:val="00E045BE"/>
    <w:rsid w:val="00E04762"/>
    <w:rsid w:val="00E075E1"/>
    <w:rsid w:val="00E07F73"/>
    <w:rsid w:val="00E121EF"/>
    <w:rsid w:val="00E13577"/>
    <w:rsid w:val="00E135F2"/>
    <w:rsid w:val="00E13C39"/>
    <w:rsid w:val="00E15CC5"/>
    <w:rsid w:val="00E161D3"/>
    <w:rsid w:val="00E216FE"/>
    <w:rsid w:val="00E271CF"/>
    <w:rsid w:val="00E27CB0"/>
    <w:rsid w:val="00E321D8"/>
    <w:rsid w:val="00E346AE"/>
    <w:rsid w:val="00E3549A"/>
    <w:rsid w:val="00E373C0"/>
    <w:rsid w:val="00E4172A"/>
    <w:rsid w:val="00E4330F"/>
    <w:rsid w:val="00E44916"/>
    <w:rsid w:val="00E4698A"/>
    <w:rsid w:val="00E552E4"/>
    <w:rsid w:val="00E55507"/>
    <w:rsid w:val="00E57805"/>
    <w:rsid w:val="00E57870"/>
    <w:rsid w:val="00E60CE8"/>
    <w:rsid w:val="00E61593"/>
    <w:rsid w:val="00E6172B"/>
    <w:rsid w:val="00E621BB"/>
    <w:rsid w:val="00E63EE5"/>
    <w:rsid w:val="00E6534B"/>
    <w:rsid w:val="00E653B5"/>
    <w:rsid w:val="00E65932"/>
    <w:rsid w:val="00E72E2D"/>
    <w:rsid w:val="00E777E7"/>
    <w:rsid w:val="00E8406C"/>
    <w:rsid w:val="00E87218"/>
    <w:rsid w:val="00E873C6"/>
    <w:rsid w:val="00E8798F"/>
    <w:rsid w:val="00E9225A"/>
    <w:rsid w:val="00E935E4"/>
    <w:rsid w:val="00E93674"/>
    <w:rsid w:val="00E95831"/>
    <w:rsid w:val="00E96419"/>
    <w:rsid w:val="00EA0B60"/>
    <w:rsid w:val="00EA1D24"/>
    <w:rsid w:val="00EA212B"/>
    <w:rsid w:val="00EA46CE"/>
    <w:rsid w:val="00EA522B"/>
    <w:rsid w:val="00EB2CBB"/>
    <w:rsid w:val="00EB3825"/>
    <w:rsid w:val="00EB41A7"/>
    <w:rsid w:val="00EB424A"/>
    <w:rsid w:val="00EB5C4A"/>
    <w:rsid w:val="00EB7922"/>
    <w:rsid w:val="00EC13F4"/>
    <w:rsid w:val="00EC6BA0"/>
    <w:rsid w:val="00EC6EF8"/>
    <w:rsid w:val="00ED1D55"/>
    <w:rsid w:val="00ED58BE"/>
    <w:rsid w:val="00ED6928"/>
    <w:rsid w:val="00EE1DB9"/>
    <w:rsid w:val="00EE2671"/>
    <w:rsid w:val="00EE48E3"/>
    <w:rsid w:val="00EE4A4F"/>
    <w:rsid w:val="00EE545C"/>
    <w:rsid w:val="00EE6F2A"/>
    <w:rsid w:val="00EF17AA"/>
    <w:rsid w:val="00EF1DF3"/>
    <w:rsid w:val="00EF5531"/>
    <w:rsid w:val="00EF5C51"/>
    <w:rsid w:val="00EF778A"/>
    <w:rsid w:val="00F00846"/>
    <w:rsid w:val="00F00E14"/>
    <w:rsid w:val="00F0169B"/>
    <w:rsid w:val="00F01F44"/>
    <w:rsid w:val="00F0284C"/>
    <w:rsid w:val="00F037CD"/>
    <w:rsid w:val="00F03AC6"/>
    <w:rsid w:val="00F04564"/>
    <w:rsid w:val="00F04EC8"/>
    <w:rsid w:val="00F0518A"/>
    <w:rsid w:val="00F10059"/>
    <w:rsid w:val="00F10609"/>
    <w:rsid w:val="00F1234E"/>
    <w:rsid w:val="00F1723B"/>
    <w:rsid w:val="00F20967"/>
    <w:rsid w:val="00F216D6"/>
    <w:rsid w:val="00F219D9"/>
    <w:rsid w:val="00F21A95"/>
    <w:rsid w:val="00F22D04"/>
    <w:rsid w:val="00F23C0A"/>
    <w:rsid w:val="00F24D86"/>
    <w:rsid w:val="00F25C7A"/>
    <w:rsid w:val="00F30E1C"/>
    <w:rsid w:val="00F31052"/>
    <w:rsid w:val="00F32A62"/>
    <w:rsid w:val="00F32F5A"/>
    <w:rsid w:val="00F44403"/>
    <w:rsid w:val="00F454D8"/>
    <w:rsid w:val="00F46811"/>
    <w:rsid w:val="00F51168"/>
    <w:rsid w:val="00F51D6E"/>
    <w:rsid w:val="00F60A40"/>
    <w:rsid w:val="00F619CE"/>
    <w:rsid w:val="00F61C53"/>
    <w:rsid w:val="00F61F02"/>
    <w:rsid w:val="00F66BB7"/>
    <w:rsid w:val="00F727EA"/>
    <w:rsid w:val="00F72BE5"/>
    <w:rsid w:val="00F740D6"/>
    <w:rsid w:val="00F762F2"/>
    <w:rsid w:val="00F77732"/>
    <w:rsid w:val="00F868CE"/>
    <w:rsid w:val="00F962CA"/>
    <w:rsid w:val="00F973E6"/>
    <w:rsid w:val="00FA0844"/>
    <w:rsid w:val="00FA5AD4"/>
    <w:rsid w:val="00FA5E98"/>
    <w:rsid w:val="00FA7AFB"/>
    <w:rsid w:val="00FB1D8B"/>
    <w:rsid w:val="00FB2D8D"/>
    <w:rsid w:val="00FB42DA"/>
    <w:rsid w:val="00FB433C"/>
    <w:rsid w:val="00FB74B0"/>
    <w:rsid w:val="00FB762D"/>
    <w:rsid w:val="00FC4D7A"/>
    <w:rsid w:val="00FC5D10"/>
    <w:rsid w:val="00FC5E01"/>
    <w:rsid w:val="00FC7897"/>
    <w:rsid w:val="00FC7D3D"/>
    <w:rsid w:val="00FD708D"/>
    <w:rsid w:val="00FD74A7"/>
    <w:rsid w:val="00FE10C2"/>
    <w:rsid w:val="00FE4004"/>
    <w:rsid w:val="00FF0643"/>
    <w:rsid w:val="00FF1366"/>
    <w:rsid w:val="00FF24BE"/>
    <w:rsid w:val="00FF2EFA"/>
    <w:rsid w:val="00FF42F9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1EE52F"/>
  <w15:docId w15:val="{F7FB7F09-4446-49AD-9C55-150564C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F6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387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877"/>
    <w:pPr>
      <w:outlineLvl w:val="1"/>
    </w:pPr>
    <w:rPr>
      <w:sz w:val="24"/>
      <w:u w:val="single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113C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1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877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43877"/>
    <w:rPr>
      <w:sz w:val="24"/>
      <w:u w:val="single"/>
      <w:lang w:val="en-US"/>
    </w:rPr>
  </w:style>
  <w:style w:type="character" w:styleId="Lienhypertexte">
    <w:name w:val="Hyperlink"/>
    <w:basedOn w:val="Policepardfaut"/>
    <w:uiPriority w:val="99"/>
    <w:unhideWhenUsed/>
    <w:rsid w:val="00C412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76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uiPriority w:val="9"/>
    <w:rsid w:val="0090113C"/>
    <w:rPr>
      <w:rFonts w:eastAsiaTheme="majorEastAsia" w:cstheme="majorBidi"/>
      <w:i/>
      <w:color w:val="000000" w:themeColor="text1"/>
      <w:szCs w:val="24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625DC0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6A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AB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3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AB7"/>
    <w:rPr>
      <w:sz w:val="20"/>
    </w:rPr>
  </w:style>
  <w:style w:type="table" w:styleId="Grilledutableau">
    <w:name w:val="Table Grid"/>
    <w:basedOn w:val="TableauNormal"/>
    <w:uiPriority w:val="39"/>
    <w:rsid w:val="0073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302C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60E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0E0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0E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E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E0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6182E"/>
    <w:pPr>
      <w:spacing w:after="0" w:line="240" w:lineRule="auto"/>
    </w:pPr>
    <w:rPr>
      <w:sz w:val="20"/>
    </w:rPr>
  </w:style>
  <w:style w:type="character" w:customStyle="1" w:styleId="CommentaireCar1">
    <w:name w:val="Commentaire Car1"/>
    <w:basedOn w:val="Policepardfaut"/>
    <w:uiPriority w:val="99"/>
    <w:semiHidden/>
    <w:locked/>
    <w:rsid w:val="008F709E"/>
    <w:rPr>
      <w:sz w:val="20"/>
      <w:szCs w:val="20"/>
    </w:rPr>
  </w:style>
  <w:style w:type="character" w:customStyle="1" w:styleId="st">
    <w:name w:val="st"/>
    <w:basedOn w:val="Policepardfaut"/>
    <w:rsid w:val="000D4C51"/>
  </w:style>
  <w:style w:type="character" w:styleId="Accentuation">
    <w:name w:val="Emphasis"/>
    <w:basedOn w:val="Policepardfaut"/>
    <w:uiPriority w:val="20"/>
    <w:qFormat/>
    <w:rsid w:val="000D4C51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46811"/>
  </w:style>
  <w:style w:type="character" w:customStyle="1" w:styleId="Titre4Car">
    <w:name w:val="Titre 4 Car"/>
    <w:basedOn w:val="Policepardfaut"/>
    <w:link w:val="Titre4"/>
    <w:uiPriority w:val="9"/>
    <w:semiHidden/>
    <w:rsid w:val="004F1A1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061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01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161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59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24">
          <w:marLeft w:val="126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271">
          <w:marLeft w:val="126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6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699">
          <w:marLeft w:val="126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098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553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0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426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64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74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452">
          <w:marLeft w:val="126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518">
          <w:marLeft w:val="126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1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223">
          <w:marLeft w:val="126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B8D5-8A3C-459D-A74C-04CBA206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Charles</cp:lastModifiedBy>
  <cp:revision>2</cp:revision>
  <cp:lastPrinted>2018-06-29T13:37:00Z</cp:lastPrinted>
  <dcterms:created xsi:type="dcterms:W3CDTF">2018-11-12T18:13:00Z</dcterms:created>
  <dcterms:modified xsi:type="dcterms:W3CDTF">2018-11-12T18:13:00Z</dcterms:modified>
</cp:coreProperties>
</file>