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F3" w:rsidRPr="00A90FCD" w:rsidRDefault="005D5DF3" w:rsidP="00896A55">
      <w:pPr>
        <w:spacing w:after="0" w:line="240" w:lineRule="auto"/>
        <w:rPr>
          <w:rFonts w:ascii="Arial" w:hAnsi="Arial" w:cs="Arial"/>
          <w:sz w:val="20"/>
          <w:szCs w:val="20"/>
        </w:rPr>
      </w:pPr>
    </w:p>
    <w:p w:rsidR="005D5DF3" w:rsidRPr="00C23C75" w:rsidRDefault="005D5DF3" w:rsidP="00896A55">
      <w:pPr>
        <w:spacing w:after="0" w:line="240" w:lineRule="auto"/>
        <w:rPr>
          <w:rFonts w:ascii="Arial" w:hAnsi="Arial" w:cs="Arial"/>
          <w:b/>
          <w:sz w:val="20"/>
          <w:szCs w:val="20"/>
        </w:rPr>
      </w:pPr>
      <w:r w:rsidRPr="00C23C75">
        <w:rPr>
          <w:rFonts w:ascii="Arial" w:hAnsi="Arial" w:cs="Arial"/>
          <w:b/>
          <w:sz w:val="20"/>
          <w:szCs w:val="20"/>
        </w:rPr>
        <w:t xml:space="preserve">Appendix </w:t>
      </w:r>
      <w:r w:rsidR="00D013BB" w:rsidRPr="00C23C75">
        <w:rPr>
          <w:rFonts w:ascii="Arial" w:hAnsi="Arial" w:cs="Arial"/>
          <w:b/>
          <w:sz w:val="20"/>
          <w:szCs w:val="20"/>
        </w:rPr>
        <w:t>2:</w:t>
      </w:r>
      <w:r w:rsidRPr="00C23C75">
        <w:rPr>
          <w:rFonts w:ascii="Arial" w:hAnsi="Arial" w:cs="Arial"/>
          <w:sz w:val="20"/>
          <w:szCs w:val="20"/>
        </w:rPr>
        <w:t xml:space="preserve"> </w:t>
      </w:r>
      <w:r w:rsidRPr="00C23C75">
        <w:rPr>
          <w:rFonts w:ascii="Arial" w:hAnsi="Arial" w:cs="Arial"/>
          <w:b/>
          <w:sz w:val="20"/>
          <w:szCs w:val="20"/>
        </w:rPr>
        <w:t xml:space="preserve">Methods-Supplementary information </w:t>
      </w:r>
      <w:r w:rsidRPr="00C23C75">
        <w:rPr>
          <w:rFonts w:ascii="Arial" w:hAnsi="Arial" w:cs="Arial"/>
          <w:b/>
          <w:sz w:val="20"/>
          <w:szCs w:val="20"/>
          <w:lang w:val="en-US"/>
        </w:rPr>
        <w:t>on the categorization of aging phenotypes</w:t>
      </w:r>
    </w:p>
    <w:p w:rsidR="005D5DF3" w:rsidRPr="00A90FCD" w:rsidRDefault="005D5DF3" w:rsidP="00896A55">
      <w:pPr>
        <w:pStyle w:val="Paragraphedeliste"/>
        <w:numPr>
          <w:ilvl w:val="0"/>
          <w:numId w:val="1"/>
        </w:numPr>
        <w:autoSpaceDE w:val="0"/>
        <w:autoSpaceDN w:val="0"/>
        <w:adjustRightInd w:val="0"/>
        <w:spacing w:after="0" w:line="240" w:lineRule="auto"/>
        <w:ind w:left="0"/>
        <w:rPr>
          <w:rFonts w:ascii="Arial" w:hAnsi="Arial" w:cs="Arial"/>
          <w:sz w:val="20"/>
          <w:szCs w:val="20"/>
        </w:rPr>
      </w:pPr>
      <w:r w:rsidRPr="00A90FCD">
        <w:rPr>
          <w:rFonts w:ascii="Arial" w:hAnsi="Arial" w:cs="Arial"/>
          <w:sz w:val="20"/>
          <w:szCs w:val="20"/>
          <w:u w:val="single"/>
        </w:rPr>
        <w:t>Procedures for assessment of non-fatal and fatal cardiovascular events and non-cardiovascular death</w:t>
      </w:r>
      <w:r w:rsidRPr="00A90FCD">
        <w:rPr>
          <w:rFonts w:ascii="Arial" w:hAnsi="Arial" w:cs="Arial"/>
          <w:sz w:val="20"/>
          <w:szCs w:val="20"/>
        </w:rPr>
        <w:t xml:space="preserve"> </w:t>
      </w:r>
      <w:r w:rsidRPr="00A90FCD">
        <w:rPr>
          <w:rFonts w:ascii="Arial" w:hAnsi="Arial" w:cs="Arial"/>
          <w:noProof/>
          <w:sz w:val="20"/>
          <w:szCs w:val="20"/>
        </w:rPr>
        <w:t>[1]</w:t>
      </w:r>
      <w:r w:rsidRPr="00A90FCD">
        <w:rPr>
          <w:rFonts w:ascii="Arial" w:hAnsi="Arial" w:cs="Arial"/>
          <w:sz w:val="20"/>
          <w:szCs w:val="20"/>
        </w:rPr>
        <w:t xml:space="preserve">. Briefly, coronary heart disease status was based on clinically verified events including myocardial infarction </w:t>
      </w:r>
      <w:r w:rsidRPr="00A90FCD">
        <w:rPr>
          <w:rFonts w:ascii="Arial" w:hAnsi="Arial" w:cs="Arial"/>
          <w:noProof/>
          <w:sz w:val="20"/>
          <w:szCs w:val="20"/>
        </w:rPr>
        <w:t>[2]</w:t>
      </w:r>
      <w:r w:rsidRPr="00A90FCD">
        <w:rPr>
          <w:rFonts w:ascii="Arial" w:hAnsi="Arial" w:cs="Arial"/>
          <w:sz w:val="20"/>
          <w:szCs w:val="20"/>
        </w:rPr>
        <w:t xml:space="preserve"> and definite angina </w:t>
      </w:r>
      <w:r w:rsidRPr="00A90FCD">
        <w:rPr>
          <w:rFonts w:ascii="Arial" w:hAnsi="Arial" w:cs="Arial"/>
          <w:noProof/>
          <w:sz w:val="20"/>
          <w:szCs w:val="20"/>
        </w:rPr>
        <w:t>[3]</w:t>
      </w:r>
      <w:r w:rsidRPr="00A90FCD">
        <w:rPr>
          <w:rFonts w:ascii="Arial" w:hAnsi="Arial" w:cs="Arial"/>
          <w:sz w:val="20"/>
          <w:szCs w:val="20"/>
        </w:rPr>
        <w:t>. Stroke was assessed using a self-reported measure of physician diagnosis. Follow up for mortality was performed through the national mortality register kept by the National Health Services Central Registry, using the NHS identification number assigned to each British citizen. The International Classification of Diseases, Ninth Revision (ICD-9), and 10th Revision (ICD-10) codes were used to define cardiovascular disease mortality (ICD-9 390.0-458.9, ICD-10 I00-I99). Non-</w:t>
      </w:r>
      <w:r w:rsidRPr="00A90FCD">
        <w:rPr>
          <w:rFonts w:ascii="Arial" w:hAnsi="Arial" w:cs="Arial"/>
          <w:sz w:val="20"/>
          <w:szCs w:val="20"/>
          <w:lang w:val="en-US"/>
        </w:rPr>
        <w:t>cardiovascular disease</w:t>
      </w:r>
      <w:r w:rsidRPr="00A90FCD">
        <w:rPr>
          <w:rFonts w:ascii="Arial" w:hAnsi="Arial" w:cs="Arial"/>
          <w:sz w:val="20"/>
          <w:szCs w:val="20"/>
        </w:rPr>
        <w:t xml:space="preserve"> mortality included all remaining deaths not classified as cardiovascular disease.</w:t>
      </w:r>
    </w:p>
    <w:p w:rsidR="005D5DF3" w:rsidRPr="00A90FCD" w:rsidRDefault="005D5DF3">
      <w:pPr>
        <w:pStyle w:val="Paragraphedeliste"/>
        <w:numPr>
          <w:ilvl w:val="0"/>
          <w:numId w:val="1"/>
        </w:numPr>
        <w:spacing w:after="0" w:line="240" w:lineRule="auto"/>
        <w:ind w:left="0" w:hanging="426"/>
        <w:rPr>
          <w:rFonts w:ascii="Arial" w:hAnsi="Arial" w:cs="Arial"/>
          <w:sz w:val="20"/>
          <w:szCs w:val="20"/>
          <w:u w:val="single"/>
          <w:lang w:val="en-CA"/>
        </w:rPr>
      </w:pPr>
      <w:r w:rsidRPr="00A90FCD">
        <w:rPr>
          <w:rFonts w:ascii="Arial" w:hAnsi="Arial" w:cs="Arial"/>
          <w:sz w:val="20"/>
          <w:szCs w:val="20"/>
          <w:u w:val="single"/>
        </w:rPr>
        <w:t xml:space="preserve">Criteria for successful aging </w:t>
      </w:r>
      <w:r w:rsidRPr="00A90FCD">
        <w:rPr>
          <w:rFonts w:ascii="Arial" w:hAnsi="Arial" w:cs="Arial"/>
          <w:noProof/>
          <w:sz w:val="20"/>
          <w:szCs w:val="20"/>
          <w:u w:val="single"/>
        </w:rPr>
        <w:t>[1]</w:t>
      </w:r>
      <w:r w:rsidRPr="00A90FCD">
        <w:rPr>
          <w:rFonts w:ascii="Arial" w:hAnsi="Arial" w:cs="Arial"/>
          <w:sz w:val="20"/>
          <w:szCs w:val="20"/>
          <w:u w:val="single"/>
        </w:rPr>
        <w:t>:</w:t>
      </w:r>
      <w:r w:rsidRPr="00A90FCD">
        <w:rPr>
          <w:rFonts w:ascii="Arial" w:hAnsi="Arial" w:cs="Arial"/>
          <w:sz w:val="20"/>
          <w:szCs w:val="20"/>
          <w:u w:val="single"/>
          <w:lang w:val="en-CA"/>
        </w:rPr>
        <w:t xml:space="preserve"> </w:t>
      </w:r>
    </w:p>
    <w:p w:rsidR="005D5DF3" w:rsidRPr="00A90FCD" w:rsidRDefault="005D5DF3" w:rsidP="00896A55">
      <w:pPr>
        <w:spacing w:after="0" w:line="240" w:lineRule="auto"/>
        <w:ind w:left="720" w:hanging="720"/>
        <w:rPr>
          <w:rFonts w:ascii="Arial" w:hAnsi="Arial" w:cs="Arial"/>
          <w:sz w:val="20"/>
          <w:szCs w:val="20"/>
          <w:lang w:val="en-CA"/>
        </w:rPr>
      </w:pPr>
      <w:r w:rsidRPr="00A90FCD">
        <w:rPr>
          <w:rFonts w:ascii="Arial" w:hAnsi="Arial" w:cs="Arial"/>
          <w:sz w:val="20"/>
          <w:szCs w:val="20"/>
          <w:lang w:val="en-CA"/>
        </w:rPr>
        <w:t xml:space="preserve">(1) No history of the following chronic diseases: cancer </w:t>
      </w:r>
      <w:r w:rsidRPr="00A90FCD">
        <w:rPr>
          <w:rFonts w:ascii="Arial" w:hAnsi="Arial" w:cs="Arial"/>
          <w:sz w:val="20"/>
          <w:szCs w:val="20"/>
        </w:rPr>
        <w:t xml:space="preserve">(assessed from National Cancer Registry), </w:t>
      </w:r>
      <w:r w:rsidRPr="00A90FCD">
        <w:rPr>
          <w:rFonts w:ascii="Arial" w:hAnsi="Arial" w:cs="Arial"/>
          <w:sz w:val="20"/>
          <w:szCs w:val="20"/>
          <w:lang w:val="en-CA"/>
        </w:rPr>
        <w:t xml:space="preserve">coronary heart disease, stroke, and diabetes determined by </w:t>
      </w:r>
      <w:r w:rsidRPr="00A90FCD">
        <w:rPr>
          <w:rFonts w:ascii="Arial" w:hAnsi="Arial" w:cs="Arial"/>
          <w:sz w:val="20"/>
          <w:szCs w:val="20"/>
          <w:lang w:val="en-US"/>
        </w:rPr>
        <w:t>self-report of doctor diagnosis, use of anti-diabetic medication or oral glucose tolerance test (a fasting glucose&gt;=7.0mmol/l, a 2-h post-load glucose &gt;=11.1mmol/l)</w:t>
      </w:r>
      <w:r w:rsidRPr="00A90FCD">
        <w:rPr>
          <w:rFonts w:ascii="Arial" w:hAnsi="Arial" w:cs="Arial"/>
          <w:noProof/>
          <w:sz w:val="20"/>
          <w:szCs w:val="20"/>
        </w:rPr>
        <w:t>[4]</w:t>
      </w:r>
      <w:r w:rsidRPr="00A90FCD">
        <w:rPr>
          <w:rFonts w:ascii="Arial" w:hAnsi="Arial" w:cs="Arial"/>
          <w:sz w:val="20"/>
          <w:szCs w:val="20"/>
        </w:rPr>
        <w:t xml:space="preserve"> </w:t>
      </w:r>
      <w:r w:rsidRPr="00A90FCD">
        <w:rPr>
          <w:rFonts w:ascii="Arial" w:hAnsi="Arial" w:cs="Arial"/>
          <w:sz w:val="20"/>
          <w:szCs w:val="20"/>
          <w:lang w:val="en-CA"/>
        </w:rPr>
        <w:t>;</w:t>
      </w:r>
    </w:p>
    <w:p w:rsidR="005D5DF3" w:rsidRPr="00A90FCD" w:rsidRDefault="005D5DF3" w:rsidP="00896A55">
      <w:pPr>
        <w:pStyle w:val="NormalWeb"/>
        <w:spacing w:before="0" w:beforeAutospacing="0" w:after="0" w:afterAutospacing="0"/>
        <w:ind w:left="720" w:hanging="720"/>
        <w:rPr>
          <w:rFonts w:ascii="Arial" w:hAnsi="Arial" w:cs="Arial"/>
          <w:sz w:val="20"/>
          <w:szCs w:val="20"/>
        </w:rPr>
      </w:pPr>
      <w:r w:rsidRPr="00A90FCD">
        <w:rPr>
          <w:rFonts w:ascii="Arial" w:hAnsi="Arial" w:cs="Arial"/>
          <w:sz w:val="20"/>
          <w:szCs w:val="20"/>
          <w:lang w:val="en-CA"/>
        </w:rPr>
        <w:t>(2) Good cognitive, physical, respiratory and cardiovascular functioning and absence of disability</w:t>
      </w:r>
      <w:r w:rsidRPr="00A90FCD">
        <w:rPr>
          <w:rFonts w:ascii="Arial" w:hAnsi="Arial" w:cs="Arial"/>
          <w:sz w:val="20"/>
          <w:szCs w:val="20"/>
        </w:rPr>
        <w:t xml:space="preserve">. All functional measures were assessed by a trained nurse using standard protocols and have been detailed </w:t>
      </w:r>
      <w:proofErr w:type="gramStart"/>
      <w:r w:rsidRPr="00A90FCD">
        <w:rPr>
          <w:rFonts w:ascii="Arial" w:hAnsi="Arial" w:cs="Arial"/>
          <w:sz w:val="20"/>
          <w:szCs w:val="20"/>
        </w:rPr>
        <w:t>previously</w:t>
      </w:r>
      <w:r w:rsidRPr="00A90FCD">
        <w:rPr>
          <w:rFonts w:ascii="Arial" w:hAnsi="Arial" w:cs="Arial"/>
          <w:noProof/>
          <w:sz w:val="20"/>
          <w:szCs w:val="20"/>
        </w:rPr>
        <w:t>[</w:t>
      </w:r>
      <w:proofErr w:type="gramEnd"/>
      <w:r w:rsidRPr="00A90FCD">
        <w:rPr>
          <w:rFonts w:ascii="Arial" w:hAnsi="Arial" w:cs="Arial"/>
          <w:noProof/>
          <w:sz w:val="20"/>
          <w:szCs w:val="20"/>
        </w:rPr>
        <w:t>1]</w:t>
      </w:r>
      <w:r w:rsidRPr="00A90FCD">
        <w:rPr>
          <w:rFonts w:ascii="Arial" w:hAnsi="Arial" w:cs="Arial"/>
          <w:sz w:val="20"/>
          <w:szCs w:val="20"/>
        </w:rPr>
        <w:t xml:space="preserve">. </w:t>
      </w:r>
      <w:r w:rsidRPr="00A90FCD">
        <w:rPr>
          <w:rFonts w:ascii="Arial" w:hAnsi="Arial" w:cs="Arial"/>
          <w:sz w:val="20"/>
          <w:szCs w:val="20"/>
          <w:lang w:val="en-CA"/>
        </w:rPr>
        <w:t xml:space="preserve">Cognitive functioning was assessed using a score of global cognition calculated from 5 cognitive tests; physical functioning using walking speed over a 8-foot walking course </w:t>
      </w:r>
      <w:r w:rsidRPr="00A90FCD">
        <w:rPr>
          <w:rFonts w:ascii="Arial" w:hAnsi="Arial" w:cs="Arial"/>
          <w:noProof/>
          <w:sz w:val="20"/>
          <w:szCs w:val="20"/>
          <w:lang w:val="en-CA"/>
        </w:rPr>
        <w:t>[5]</w:t>
      </w:r>
      <w:r w:rsidRPr="00A90FCD">
        <w:rPr>
          <w:rFonts w:ascii="Arial" w:hAnsi="Arial" w:cs="Arial"/>
          <w:sz w:val="20"/>
          <w:szCs w:val="20"/>
          <w:lang w:val="en-CA"/>
        </w:rPr>
        <w:t>; respiratory function using forced expiratory volume in one second/height</w:t>
      </w:r>
      <w:r w:rsidRPr="00A90FCD">
        <w:rPr>
          <w:rFonts w:ascii="Arial" w:hAnsi="Arial" w:cs="Arial"/>
          <w:sz w:val="20"/>
          <w:szCs w:val="20"/>
          <w:vertAlign w:val="superscript"/>
          <w:lang w:val="en-CA"/>
        </w:rPr>
        <w:t xml:space="preserve">2 </w:t>
      </w:r>
      <w:r w:rsidRPr="00A90FCD">
        <w:rPr>
          <w:rFonts w:ascii="Arial" w:hAnsi="Arial" w:cs="Arial"/>
          <w:sz w:val="20"/>
          <w:szCs w:val="20"/>
          <w:lang w:val="en-CA"/>
        </w:rPr>
        <w:t>(L/m</w:t>
      </w:r>
      <w:r w:rsidRPr="00A90FCD">
        <w:rPr>
          <w:rFonts w:ascii="Arial" w:hAnsi="Arial" w:cs="Arial"/>
          <w:sz w:val="20"/>
          <w:szCs w:val="20"/>
          <w:vertAlign w:val="superscript"/>
          <w:lang w:val="en-CA"/>
        </w:rPr>
        <w:t>2</w:t>
      </w:r>
      <w:r w:rsidRPr="00A90FCD">
        <w:rPr>
          <w:rFonts w:ascii="Arial" w:hAnsi="Arial" w:cs="Arial"/>
          <w:sz w:val="20"/>
          <w:szCs w:val="20"/>
          <w:lang w:val="en-CA"/>
        </w:rPr>
        <w:t xml:space="preserve">) </w:t>
      </w:r>
      <w:r w:rsidRPr="00A90FCD">
        <w:rPr>
          <w:rFonts w:ascii="Arial" w:hAnsi="Arial" w:cs="Arial"/>
          <w:noProof/>
          <w:sz w:val="20"/>
          <w:szCs w:val="20"/>
          <w:lang w:val="en-CA"/>
        </w:rPr>
        <w:t>[6]</w:t>
      </w:r>
      <w:r w:rsidRPr="00A90FCD">
        <w:rPr>
          <w:rFonts w:ascii="Arial" w:hAnsi="Arial" w:cs="Arial"/>
          <w:sz w:val="20"/>
          <w:szCs w:val="20"/>
          <w:lang w:val="en-CA"/>
        </w:rPr>
        <w:t xml:space="preserve">; and cardiovascular function using systolic blood pressure (average of 2 measurements in the sitting position after a 5-minute rest using the </w:t>
      </w:r>
      <w:r w:rsidRPr="00A90FCD">
        <w:rPr>
          <w:rFonts w:ascii="Arial" w:hAnsi="Arial" w:cs="Arial"/>
          <w:sz w:val="20"/>
          <w:szCs w:val="20"/>
        </w:rPr>
        <w:t xml:space="preserve">sphygmomanometer </w:t>
      </w:r>
      <w:r w:rsidRPr="00A90FCD">
        <w:rPr>
          <w:rFonts w:ascii="Arial" w:hAnsi="Arial" w:cs="Arial"/>
          <w:sz w:val="20"/>
          <w:szCs w:val="20"/>
          <w:lang w:val="en-CA"/>
        </w:rPr>
        <w:t xml:space="preserve">OMRON HEM 907, Omron, Milton Keynes, UK). Poor functioning was defined as scores in the worst sex- and age-standardised quintile. </w:t>
      </w:r>
      <w:r w:rsidRPr="00A90FCD">
        <w:rPr>
          <w:rFonts w:ascii="Arial" w:hAnsi="Arial" w:cs="Arial"/>
          <w:sz w:val="20"/>
          <w:szCs w:val="20"/>
        </w:rPr>
        <w:t xml:space="preserve">Participants having difficulties with one or more activities assessed using instrumental and basic activities of daily living questionnaire </w:t>
      </w:r>
      <w:r w:rsidRPr="00A90FCD">
        <w:rPr>
          <w:rFonts w:ascii="Arial" w:hAnsi="Arial" w:cs="Arial"/>
          <w:noProof/>
          <w:sz w:val="20"/>
          <w:szCs w:val="20"/>
        </w:rPr>
        <w:t>[7] [8</w:t>
      </w:r>
      <w:proofErr w:type="gramStart"/>
      <w:r w:rsidRPr="00A90FCD">
        <w:rPr>
          <w:rFonts w:ascii="Arial" w:hAnsi="Arial" w:cs="Arial"/>
          <w:noProof/>
          <w:sz w:val="20"/>
          <w:szCs w:val="20"/>
        </w:rPr>
        <w:t>]</w:t>
      </w:r>
      <w:r w:rsidRPr="00A90FCD">
        <w:rPr>
          <w:rFonts w:ascii="Arial" w:hAnsi="Arial" w:cs="Arial"/>
          <w:sz w:val="20"/>
          <w:szCs w:val="20"/>
        </w:rPr>
        <w:t>were</w:t>
      </w:r>
      <w:proofErr w:type="gramEnd"/>
      <w:r w:rsidRPr="00A90FCD">
        <w:rPr>
          <w:rFonts w:ascii="Arial" w:hAnsi="Arial" w:cs="Arial"/>
          <w:sz w:val="20"/>
          <w:szCs w:val="20"/>
        </w:rPr>
        <w:t xml:space="preserve"> categorized as disabled</w:t>
      </w:r>
      <w:r w:rsidRPr="00A90FCD">
        <w:rPr>
          <w:rFonts w:ascii="Arial" w:hAnsi="Arial" w:cs="Arial"/>
          <w:sz w:val="20"/>
          <w:szCs w:val="20"/>
          <w:lang w:val="en-CA"/>
        </w:rPr>
        <w:t>;</w:t>
      </w:r>
    </w:p>
    <w:p w:rsidR="005D5DF3" w:rsidRDefault="005D5DF3" w:rsidP="00896A55">
      <w:pPr>
        <w:spacing w:after="0" w:line="240" w:lineRule="auto"/>
        <w:ind w:left="720" w:hanging="720"/>
        <w:rPr>
          <w:rFonts w:ascii="Arial" w:hAnsi="Arial" w:cs="Arial"/>
          <w:sz w:val="20"/>
          <w:szCs w:val="20"/>
          <w:lang w:val="en-CA"/>
        </w:rPr>
      </w:pPr>
      <w:r w:rsidRPr="00A90FCD">
        <w:rPr>
          <w:rFonts w:ascii="Arial" w:hAnsi="Arial" w:cs="Arial"/>
          <w:sz w:val="20"/>
          <w:szCs w:val="20"/>
          <w:lang w:val="en-CA"/>
        </w:rPr>
        <w:t xml:space="preserve">(3) Good mental health defined as scoring &gt;42 on the mental health component summary scale of the Short Form General Health Survey </w:t>
      </w:r>
      <w:r w:rsidRPr="00A90FCD">
        <w:rPr>
          <w:rFonts w:ascii="Arial" w:hAnsi="Arial" w:cs="Arial"/>
          <w:noProof/>
          <w:sz w:val="20"/>
          <w:szCs w:val="20"/>
          <w:lang w:val="en-CA"/>
        </w:rPr>
        <w:t>[9]</w:t>
      </w:r>
      <w:r w:rsidRPr="00A90FCD">
        <w:rPr>
          <w:rFonts w:ascii="Arial" w:hAnsi="Arial" w:cs="Arial"/>
          <w:sz w:val="20"/>
          <w:szCs w:val="20"/>
          <w:lang w:val="en-CA"/>
        </w:rPr>
        <w:t>.</w:t>
      </w:r>
    </w:p>
    <w:p w:rsidR="00B9057E" w:rsidRPr="00C23C75" w:rsidRDefault="00B9057E" w:rsidP="00B9057E">
      <w:pPr>
        <w:tabs>
          <w:tab w:val="left" w:pos="993"/>
        </w:tabs>
        <w:spacing w:after="0" w:line="240" w:lineRule="auto"/>
        <w:rPr>
          <w:rFonts w:ascii="Arial" w:hAnsi="Arial" w:cs="Arial"/>
          <w:b/>
          <w:sz w:val="20"/>
          <w:szCs w:val="20"/>
        </w:rPr>
      </w:pPr>
      <w:r w:rsidRPr="00C23C75">
        <w:rPr>
          <w:rFonts w:ascii="Arial" w:hAnsi="Arial" w:cs="Arial"/>
          <w:b/>
          <w:sz w:val="20"/>
          <w:szCs w:val="20"/>
        </w:rPr>
        <w:t>References</w:t>
      </w:r>
    </w:p>
    <w:p w:rsidR="00B9057E" w:rsidRPr="00C23C75" w:rsidRDefault="00B9057E" w:rsidP="00B9057E">
      <w:pPr>
        <w:tabs>
          <w:tab w:val="left" w:pos="993"/>
        </w:tabs>
        <w:spacing w:after="0" w:line="240" w:lineRule="auto"/>
        <w:rPr>
          <w:rFonts w:ascii="Arial" w:hAnsi="Arial" w:cs="Arial"/>
          <w:sz w:val="20"/>
          <w:szCs w:val="20"/>
        </w:rPr>
      </w:pPr>
    </w:p>
    <w:p w:rsidR="00B9057E" w:rsidRPr="00C23C75" w:rsidRDefault="00B9057E" w:rsidP="00B9057E">
      <w:pPr>
        <w:spacing w:after="0" w:line="240" w:lineRule="auto"/>
        <w:ind w:left="720" w:hanging="720"/>
        <w:rPr>
          <w:rFonts w:cs="Arial"/>
          <w:noProof/>
          <w:szCs w:val="20"/>
        </w:rPr>
      </w:pPr>
      <w:r w:rsidRPr="00C23C75">
        <w:rPr>
          <w:rFonts w:cs="Arial"/>
          <w:noProof/>
          <w:szCs w:val="20"/>
        </w:rPr>
        <w:t>1.</w:t>
      </w:r>
      <w:r w:rsidRPr="00C23C75">
        <w:rPr>
          <w:rFonts w:cs="Arial"/>
          <w:noProof/>
          <w:szCs w:val="20"/>
        </w:rPr>
        <w:tab/>
        <w:t xml:space="preserve">Sabia, S., et al., </w:t>
      </w:r>
      <w:r w:rsidRPr="00C23C75">
        <w:rPr>
          <w:rFonts w:cs="Arial"/>
          <w:i/>
          <w:noProof/>
          <w:szCs w:val="20"/>
        </w:rPr>
        <w:t>Influence of individual and combined healthy behaviours on successful aging.</w:t>
      </w:r>
      <w:r w:rsidRPr="00C23C75">
        <w:rPr>
          <w:rFonts w:cs="Arial"/>
          <w:noProof/>
          <w:szCs w:val="20"/>
        </w:rPr>
        <w:t xml:space="preserve"> CMAJ, 2012.</w:t>
      </w:r>
    </w:p>
    <w:p w:rsidR="00B9057E" w:rsidRPr="00C23C75" w:rsidRDefault="00B9057E" w:rsidP="00B9057E">
      <w:pPr>
        <w:spacing w:after="0" w:line="240" w:lineRule="auto"/>
        <w:ind w:left="720" w:hanging="720"/>
        <w:rPr>
          <w:rFonts w:cs="Arial"/>
          <w:noProof/>
          <w:szCs w:val="20"/>
        </w:rPr>
      </w:pPr>
      <w:r w:rsidRPr="00C23C75">
        <w:rPr>
          <w:rFonts w:cs="Arial"/>
          <w:noProof/>
          <w:szCs w:val="20"/>
        </w:rPr>
        <w:t>2.</w:t>
      </w:r>
      <w:r w:rsidRPr="00C23C75">
        <w:rPr>
          <w:rFonts w:cs="Arial"/>
          <w:noProof/>
          <w:szCs w:val="20"/>
        </w:rPr>
        <w:tab/>
        <w:t xml:space="preserve">Tunstall-Pedoe, H., et al., </w:t>
      </w:r>
      <w:r w:rsidRPr="00C23C75">
        <w:rPr>
          <w:rFonts w:cs="Arial"/>
          <w:i/>
          <w:noProof/>
          <w:szCs w:val="20"/>
        </w:rPr>
        <w:t>Myocardial infarction and coronary deaths in the World Health Organization MONICA Project. Registration procedures, event rates, and case-fatality rates in 38 populations from 21 countries in four continents.</w:t>
      </w:r>
      <w:r w:rsidRPr="00C23C75">
        <w:rPr>
          <w:rFonts w:cs="Arial"/>
          <w:noProof/>
          <w:szCs w:val="20"/>
        </w:rPr>
        <w:t xml:space="preserve"> Circulation, 1994. </w:t>
      </w:r>
      <w:r w:rsidRPr="00C23C75">
        <w:rPr>
          <w:rFonts w:cs="Arial"/>
          <w:b/>
          <w:noProof/>
          <w:szCs w:val="20"/>
        </w:rPr>
        <w:t>90</w:t>
      </w:r>
      <w:r w:rsidRPr="00C23C75">
        <w:rPr>
          <w:rFonts w:cs="Arial"/>
          <w:noProof/>
          <w:szCs w:val="20"/>
        </w:rPr>
        <w:t>(1): p. 583-612.</w:t>
      </w:r>
    </w:p>
    <w:p w:rsidR="00B9057E" w:rsidRPr="00C23C75" w:rsidRDefault="00B9057E" w:rsidP="00B9057E">
      <w:pPr>
        <w:spacing w:after="0" w:line="240" w:lineRule="auto"/>
        <w:ind w:left="720" w:hanging="720"/>
        <w:rPr>
          <w:rFonts w:cs="Arial"/>
          <w:noProof/>
          <w:szCs w:val="20"/>
        </w:rPr>
      </w:pPr>
      <w:r w:rsidRPr="00C23C75">
        <w:rPr>
          <w:rFonts w:cs="Arial"/>
          <w:noProof/>
          <w:szCs w:val="20"/>
        </w:rPr>
        <w:t>3.</w:t>
      </w:r>
      <w:r w:rsidRPr="00C23C75">
        <w:rPr>
          <w:rFonts w:cs="Arial"/>
          <w:noProof/>
          <w:szCs w:val="20"/>
        </w:rPr>
        <w:tab/>
        <w:t xml:space="preserve">Rose, G.A., et al., </w:t>
      </w:r>
      <w:r w:rsidRPr="00C23C75">
        <w:rPr>
          <w:rFonts w:cs="Arial"/>
          <w:i/>
          <w:noProof/>
          <w:szCs w:val="20"/>
        </w:rPr>
        <w:t>Cardiovascular Survey Methods. 2nd ed</w:t>
      </w:r>
      <w:r w:rsidRPr="00C23C75">
        <w:rPr>
          <w:rFonts w:cs="Arial"/>
          <w:noProof/>
          <w:szCs w:val="20"/>
        </w:rPr>
        <w:t>. 1982, Geneva: World Health Organization.</w:t>
      </w:r>
    </w:p>
    <w:p w:rsidR="00B9057E" w:rsidRPr="00C23C75" w:rsidRDefault="00B9057E" w:rsidP="00B9057E">
      <w:pPr>
        <w:spacing w:after="0" w:line="240" w:lineRule="auto"/>
        <w:ind w:left="720" w:hanging="720"/>
        <w:rPr>
          <w:rFonts w:cs="Arial"/>
          <w:noProof/>
          <w:szCs w:val="20"/>
        </w:rPr>
      </w:pPr>
      <w:r w:rsidRPr="00C23C75">
        <w:rPr>
          <w:rFonts w:cs="Arial"/>
          <w:noProof/>
          <w:szCs w:val="20"/>
        </w:rPr>
        <w:t>4.</w:t>
      </w:r>
      <w:r w:rsidRPr="00C23C75">
        <w:rPr>
          <w:rFonts w:cs="Arial"/>
          <w:noProof/>
          <w:szCs w:val="20"/>
        </w:rPr>
        <w:tab/>
        <w:t xml:space="preserve">Alberti, K.G. and P.Z. Zimmet, </w:t>
      </w:r>
      <w:r w:rsidRPr="00C23C75">
        <w:rPr>
          <w:rFonts w:cs="Arial"/>
          <w:i/>
          <w:noProof/>
          <w:szCs w:val="20"/>
        </w:rPr>
        <w:t>Definition, diagnosis and classification of diabetes mellitus and its complications. Part 1: diagnosis and classification of diabetes mellitus provisional report of a WHO consultation.</w:t>
      </w:r>
      <w:r w:rsidRPr="00C23C75">
        <w:rPr>
          <w:rFonts w:cs="Arial"/>
          <w:noProof/>
          <w:szCs w:val="20"/>
        </w:rPr>
        <w:t xml:space="preserve"> Diabet Med, 1998. </w:t>
      </w:r>
      <w:r w:rsidRPr="00C23C75">
        <w:rPr>
          <w:rFonts w:cs="Arial"/>
          <w:b/>
          <w:noProof/>
          <w:szCs w:val="20"/>
        </w:rPr>
        <w:t>15</w:t>
      </w:r>
      <w:r w:rsidRPr="00C23C75">
        <w:rPr>
          <w:rFonts w:cs="Arial"/>
          <w:noProof/>
          <w:szCs w:val="20"/>
        </w:rPr>
        <w:t>(7): p. 539-53.</w:t>
      </w:r>
    </w:p>
    <w:p w:rsidR="00B9057E" w:rsidRPr="00C23C75" w:rsidRDefault="00B9057E" w:rsidP="00B9057E">
      <w:pPr>
        <w:spacing w:after="0" w:line="240" w:lineRule="auto"/>
        <w:ind w:left="720" w:hanging="720"/>
        <w:rPr>
          <w:rFonts w:cs="Arial"/>
          <w:noProof/>
          <w:szCs w:val="20"/>
        </w:rPr>
      </w:pPr>
      <w:r w:rsidRPr="00C23C75">
        <w:rPr>
          <w:rFonts w:cs="Arial"/>
          <w:noProof/>
          <w:szCs w:val="20"/>
        </w:rPr>
        <w:t>5.</w:t>
      </w:r>
      <w:r w:rsidRPr="00C23C75">
        <w:rPr>
          <w:rFonts w:cs="Arial"/>
          <w:noProof/>
          <w:szCs w:val="20"/>
        </w:rPr>
        <w:tab/>
        <w:t xml:space="preserve">Guralnik, J.M., et al., </w:t>
      </w:r>
      <w:r w:rsidRPr="00C23C75">
        <w:rPr>
          <w:rFonts w:cs="Arial"/>
          <w:i/>
          <w:noProof/>
          <w:szCs w:val="20"/>
        </w:rPr>
        <w:t>A short physical performance battery assessing lower extremity function: association with self-reported disability and prediction of mortality and nursing home admission.</w:t>
      </w:r>
      <w:r w:rsidRPr="00C23C75">
        <w:rPr>
          <w:rFonts w:cs="Arial"/>
          <w:noProof/>
          <w:szCs w:val="20"/>
        </w:rPr>
        <w:t xml:space="preserve"> J Gerontol, 1994. </w:t>
      </w:r>
      <w:r w:rsidRPr="00C23C75">
        <w:rPr>
          <w:rFonts w:cs="Arial"/>
          <w:b/>
          <w:noProof/>
          <w:szCs w:val="20"/>
        </w:rPr>
        <w:t>49</w:t>
      </w:r>
      <w:r w:rsidRPr="00C23C75">
        <w:rPr>
          <w:rFonts w:cs="Arial"/>
          <w:noProof/>
          <w:szCs w:val="20"/>
        </w:rPr>
        <w:t>(2): p. M85-94.</w:t>
      </w:r>
    </w:p>
    <w:p w:rsidR="00B9057E" w:rsidRPr="00C23C75" w:rsidRDefault="00B9057E" w:rsidP="00B9057E">
      <w:pPr>
        <w:spacing w:after="0" w:line="240" w:lineRule="auto"/>
        <w:ind w:left="720" w:hanging="720"/>
        <w:rPr>
          <w:rFonts w:cs="Arial"/>
          <w:noProof/>
          <w:szCs w:val="20"/>
        </w:rPr>
      </w:pPr>
      <w:r w:rsidRPr="00C23C75">
        <w:rPr>
          <w:rFonts w:cs="Arial"/>
          <w:noProof/>
          <w:szCs w:val="20"/>
        </w:rPr>
        <w:t>6.</w:t>
      </w:r>
      <w:r w:rsidRPr="00C23C75">
        <w:rPr>
          <w:rFonts w:cs="Arial"/>
          <w:noProof/>
          <w:szCs w:val="20"/>
        </w:rPr>
        <w:tab/>
        <w:t xml:space="preserve">Hayes, D., Jr. and S.S. Kraman, </w:t>
      </w:r>
      <w:r w:rsidRPr="00C23C75">
        <w:rPr>
          <w:rFonts w:cs="Arial"/>
          <w:i/>
          <w:noProof/>
          <w:szCs w:val="20"/>
        </w:rPr>
        <w:t>The physiologic basis of spirometry.</w:t>
      </w:r>
      <w:r w:rsidRPr="00C23C75">
        <w:rPr>
          <w:rFonts w:cs="Arial"/>
          <w:noProof/>
          <w:szCs w:val="20"/>
        </w:rPr>
        <w:t xml:space="preserve"> Respir Care, 2009. </w:t>
      </w:r>
      <w:r w:rsidRPr="00C23C75">
        <w:rPr>
          <w:rFonts w:cs="Arial"/>
          <w:b/>
          <w:noProof/>
          <w:szCs w:val="20"/>
        </w:rPr>
        <w:t>54</w:t>
      </w:r>
      <w:r w:rsidRPr="00C23C75">
        <w:rPr>
          <w:rFonts w:cs="Arial"/>
          <w:noProof/>
          <w:szCs w:val="20"/>
        </w:rPr>
        <w:t>(12): p. 1717-26.</w:t>
      </w:r>
    </w:p>
    <w:p w:rsidR="00B9057E" w:rsidRPr="00C23C75" w:rsidRDefault="00B9057E" w:rsidP="00B9057E">
      <w:pPr>
        <w:spacing w:after="0" w:line="240" w:lineRule="auto"/>
        <w:ind w:left="720" w:hanging="720"/>
        <w:rPr>
          <w:rFonts w:cs="Arial"/>
          <w:noProof/>
          <w:szCs w:val="20"/>
        </w:rPr>
      </w:pPr>
      <w:r w:rsidRPr="00C23C75">
        <w:rPr>
          <w:rFonts w:cs="Arial"/>
          <w:noProof/>
          <w:szCs w:val="20"/>
        </w:rPr>
        <w:t>7.</w:t>
      </w:r>
      <w:r w:rsidRPr="00C23C75">
        <w:rPr>
          <w:rFonts w:cs="Arial"/>
          <w:noProof/>
          <w:szCs w:val="20"/>
        </w:rPr>
        <w:tab/>
        <w:t xml:space="preserve">Lawton, M.P. and E.M. Brody, </w:t>
      </w:r>
      <w:r w:rsidRPr="00C23C75">
        <w:rPr>
          <w:rFonts w:cs="Arial"/>
          <w:i/>
          <w:noProof/>
          <w:szCs w:val="20"/>
        </w:rPr>
        <w:t>Assessment of older people: self-maintaining and instrumental activities of daily living.</w:t>
      </w:r>
      <w:r w:rsidRPr="00C23C75">
        <w:rPr>
          <w:rFonts w:cs="Arial"/>
          <w:noProof/>
          <w:szCs w:val="20"/>
        </w:rPr>
        <w:t xml:space="preserve"> Gerontologist, 1969. </w:t>
      </w:r>
      <w:r w:rsidRPr="00C23C75">
        <w:rPr>
          <w:rFonts w:cs="Arial"/>
          <w:b/>
          <w:noProof/>
          <w:szCs w:val="20"/>
        </w:rPr>
        <w:t>9</w:t>
      </w:r>
      <w:r w:rsidRPr="00C23C75">
        <w:rPr>
          <w:rFonts w:cs="Arial"/>
          <w:noProof/>
          <w:szCs w:val="20"/>
        </w:rPr>
        <w:t>(3): p. 179-86.</w:t>
      </w:r>
    </w:p>
    <w:p w:rsidR="00B9057E" w:rsidRPr="00C23C75" w:rsidRDefault="00B9057E" w:rsidP="00B9057E">
      <w:pPr>
        <w:spacing w:after="0" w:line="240" w:lineRule="auto"/>
        <w:ind w:left="720" w:hanging="720"/>
        <w:rPr>
          <w:rFonts w:cs="Arial"/>
          <w:noProof/>
          <w:szCs w:val="20"/>
        </w:rPr>
      </w:pPr>
      <w:r w:rsidRPr="00C23C75">
        <w:rPr>
          <w:rFonts w:cs="Arial"/>
          <w:noProof/>
          <w:szCs w:val="20"/>
        </w:rPr>
        <w:t>8.</w:t>
      </w:r>
      <w:r w:rsidRPr="00C23C75">
        <w:rPr>
          <w:rFonts w:cs="Arial"/>
          <w:noProof/>
          <w:szCs w:val="20"/>
        </w:rPr>
        <w:tab/>
        <w:t xml:space="preserve">Katz, S., et al., </w:t>
      </w:r>
      <w:r w:rsidRPr="00C23C75">
        <w:rPr>
          <w:rFonts w:cs="Arial"/>
          <w:i/>
          <w:noProof/>
          <w:szCs w:val="20"/>
        </w:rPr>
        <w:t>Progress in development of the index of ADL.</w:t>
      </w:r>
      <w:r w:rsidRPr="00C23C75">
        <w:rPr>
          <w:rFonts w:cs="Arial"/>
          <w:noProof/>
          <w:szCs w:val="20"/>
        </w:rPr>
        <w:t xml:space="preserve"> Gerontologist, 1970. </w:t>
      </w:r>
      <w:r w:rsidRPr="00C23C75">
        <w:rPr>
          <w:rFonts w:cs="Arial"/>
          <w:b/>
          <w:noProof/>
          <w:szCs w:val="20"/>
        </w:rPr>
        <w:t>10</w:t>
      </w:r>
      <w:r w:rsidRPr="00C23C75">
        <w:rPr>
          <w:rFonts w:cs="Arial"/>
          <w:noProof/>
          <w:szCs w:val="20"/>
        </w:rPr>
        <w:t>(1): p. 20-30.</w:t>
      </w:r>
    </w:p>
    <w:p w:rsidR="00B9057E" w:rsidRPr="00C23C75" w:rsidRDefault="00B9057E" w:rsidP="00B9057E">
      <w:pPr>
        <w:spacing w:after="0" w:line="240" w:lineRule="auto"/>
        <w:ind w:left="720" w:hanging="720"/>
        <w:rPr>
          <w:rFonts w:ascii="Arial" w:hAnsi="Arial" w:cs="Arial"/>
          <w:sz w:val="20"/>
          <w:szCs w:val="20"/>
          <w:lang w:val="en-CA"/>
        </w:rPr>
      </w:pPr>
      <w:r w:rsidRPr="00C23C75">
        <w:rPr>
          <w:rFonts w:cs="Arial"/>
          <w:noProof/>
          <w:szCs w:val="20"/>
        </w:rPr>
        <w:t>9.</w:t>
      </w:r>
      <w:r w:rsidRPr="00C23C75">
        <w:rPr>
          <w:rFonts w:cs="Arial"/>
          <w:noProof/>
          <w:szCs w:val="20"/>
        </w:rPr>
        <w:tab/>
        <w:t xml:space="preserve">Ware, J.E., Jr. and C.D. Sherbourne, </w:t>
      </w:r>
      <w:r w:rsidRPr="00C23C75">
        <w:rPr>
          <w:rFonts w:cs="Arial"/>
          <w:i/>
          <w:noProof/>
          <w:szCs w:val="20"/>
        </w:rPr>
        <w:t>The MOS 36-item short-form health survey (SF-36). I. Conceptual framework and item selection.</w:t>
      </w:r>
      <w:r w:rsidRPr="00C23C75">
        <w:rPr>
          <w:rFonts w:cs="Arial"/>
          <w:noProof/>
          <w:szCs w:val="20"/>
        </w:rPr>
        <w:t xml:space="preserve"> Med Care, 1992. </w:t>
      </w:r>
      <w:r w:rsidRPr="00C23C75">
        <w:rPr>
          <w:rFonts w:cs="Arial"/>
          <w:b/>
          <w:noProof/>
          <w:szCs w:val="20"/>
        </w:rPr>
        <w:t>30</w:t>
      </w:r>
      <w:r w:rsidRPr="00C23C75">
        <w:rPr>
          <w:rFonts w:cs="Arial"/>
          <w:noProof/>
          <w:szCs w:val="20"/>
        </w:rPr>
        <w:t>(6): p. 473-83.</w:t>
      </w:r>
    </w:p>
    <w:p w:rsidR="005D5DF3" w:rsidRPr="00C23C75" w:rsidRDefault="005D5DF3" w:rsidP="00896A55">
      <w:pPr>
        <w:spacing w:after="0" w:line="240" w:lineRule="auto"/>
        <w:rPr>
          <w:rFonts w:ascii="Arial" w:hAnsi="Arial" w:cs="Arial"/>
          <w:sz w:val="20"/>
          <w:szCs w:val="20"/>
        </w:rPr>
      </w:pPr>
    </w:p>
    <w:p w:rsidR="00B9057E" w:rsidRPr="00C23C75" w:rsidRDefault="00B9057E" w:rsidP="00896A55">
      <w:pPr>
        <w:spacing w:after="0" w:line="240" w:lineRule="auto"/>
        <w:rPr>
          <w:rFonts w:ascii="Arial" w:hAnsi="Arial" w:cs="Arial"/>
          <w:b/>
          <w:sz w:val="20"/>
          <w:szCs w:val="20"/>
        </w:rPr>
      </w:pPr>
    </w:p>
    <w:p w:rsidR="00D013BB" w:rsidRDefault="00D013BB" w:rsidP="00896A55">
      <w:pPr>
        <w:spacing w:after="0" w:line="240" w:lineRule="auto"/>
        <w:rPr>
          <w:rFonts w:ascii="Arial" w:hAnsi="Arial" w:cs="Arial"/>
          <w:b/>
          <w:color w:val="FF0000"/>
          <w:sz w:val="20"/>
          <w:szCs w:val="20"/>
        </w:rPr>
      </w:pPr>
    </w:p>
    <w:p w:rsidR="002D4438" w:rsidRDefault="002D4438">
      <w:pPr>
        <w:rPr>
          <w:rFonts w:ascii="Arial" w:hAnsi="Arial" w:cs="Arial"/>
          <w:b/>
          <w:color w:val="FF0000"/>
          <w:sz w:val="20"/>
          <w:szCs w:val="20"/>
        </w:rPr>
      </w:pPr>
      <w:r>
        <w:rPr>
          <w:rFonts w:ascii="Arial" w:hAnsi="Arial" w:cs="Arial"/>
          <w:b/>
          <w:color w:val="FF0000"/>
          <w:sz w:val="20"/>
          <w:szCs w:val="20"/>
        </w:rPr>
        <w:br w:type="page"/>
      </w:r>
    </w:p>
    <w:p w:rsidR="005811F2" w:rsidRPr="00C23C75" w:rsidRDefault="005811F2" w:rsidP="005811F2">
      <w:pPr>
        <w:spacing w:after="0" w:line="240" w:lineRule="auto"/>
        <w:rPr>
          <w:rFonts w:ascii="Arial" w:hAnsi="Arial" w:cs="Arial"/>
          <w:b/>
          <w:sz w:val="20"/>
          <w:szCs w:val="20"/>
        </w:rPr>
      </w:pPr>
      <w:r w:rsidRPr="00C23C75">
        <w:rPr>
          <w:rFonts w:ascii="Arial" w:hAnsi="Arial" w:cs="Arial"/>
          <w:b/>
          <w:sz w:val="20"/>
          <w:szCs w:val="20"/>
        </w:rPr>
        <w:lastRenderedPageBreak/>
        <w:t>Appendix 3: Details of the sensitivity analyses</w:t>
      </w:r>
    </w:p>
    <w:p w:rsidR="005811F2" w:rsidRPr="00A90FCD" w:rsidRDefault="005811F2" w:rsidP="005811F2">
      <w:pPr>
        <w:spacing w:after="0" w:line="240" w:lineRule="auto"/>
        <w:rPr>
          <w:rFonts w:ascii="Arial" w:hAnsi="Arial" w:cs="Arial"/>
          <w:sz w:val="20"/>
          <w:szCs w:val="20"/>
        </w:rPr>
      </w:pPr>
      <w:r w:rsidRPr="00A90FCD">
        <w:rPr>
          <w:rFonts w:ascii="Arial" w:hAnsi="Arial" w:cs="Arial"/>
          <w:sz w:val="20"/>
          <w:szCs w:val="20"/>
        </w:rPr>
        <w:t xml:space="preserve">To examine potential competing risk bias, the </w:t>
      </w:r>
      <w:r w:rsidRPr="00A90FCD">
        <w:rPr>
          <w:rFonts w:ascii="Arial" w:hAnsi="Arial" w:cs="Arial"/>
          <w:sz w:val="20"/>
          <w:szCs w:val="20"/>
          <w:lang w:val="en-US"/>
        </w:rPr>
        <w:t xml:space="preserve">association between inflammation and aging phenotypes was assessed using </w:t>
      </w:r>
      <w:r w:rsidRPr="00A90FCD">
        <w:rPr>
          <w:rFonts w:ascii="Arial" w:hAnsi="Arial" w:cs="Arial"/>
          <w:sz w:val="20"/>
          <w:szCs w:val="20"/>
        </w:rPr>
        <w:t>multinomial regression. We estimated odds of successful aging and the two unhealthy aging outcomes within a single analysis with normal ageing as the common reference point for all three outcomes</w:t>
      </w:r>
      <w:r w:rsidRPr="00A90FCD">
        <w:rPr>
          <w:rFonts w:ascii="Arial" w:hAnsi="Arial" w:cs="Arial"/>
          <w:b/>
          <w:sz w:val="20"/>
          <w:szCs w:val="20"/>
          <w:lang w:eastAsia="en-GB"/>
        </w:rPr>
        <w:t xml:space="preserve"> </w:t>
      </w:r>
      <w:r w:rsidRPr="00A90FCD">
        <w:rPr>
          <w:rFonts w:ascii="Arial" w:hAnsi="Arial" w:cs="Arial"/>
          <w:sz w:val="20"/>
          <w:szCs w:val="20"/>
          <w:lang w:eastAsia="en-GB"/>
        </w:rPr>
        <w:t>thus avoiding the substantial overlap in the different health components of aging</w:t>
      </w:r>
      <w:r w:rsidRPr="00A90FCD">
        <w:rPr>
          <w:rFonts w:ascii="Arial" w:hAnsi="Arial" w:cs="Arial"/>
          <w:sz w:val="20"/>
          <w:szCs w:val="20"/>
        </w:rPr>
        <w:t xml:space="preserve"> (Appendix 5).</w:t>
      </w:r>
    </w:p>
    <w:p w:rsidR="005811F2" w:rsidRPr="00A90FCD" w:rsidRDefault="005811F2" w:rsidP="005811F2">
      <w:pPr>
        <w:spacing w:after="0" w:line="240" w:lineRule="auto"/>
        <w:rPr>
          <w:rFonts w:ascii="Arial" w:hAnsi="Arial" w:cs="Arial"/>
          <w:sz w:val="20"/>
          <w:szCs w:val="20"/>
        </w:rPr>
      </w:pPr>
      <w:r w:rsidRPr="00A90FCD">
        <w:rPr>
          <w:rFonts w:ascii="Arial" w:hAnsi="Arial" w:cs="Arial"/>
          <w:sz w:val="20"/>
          <w:szCs w:val="20"/>
        </w:rPr>
        <w:tab/>
        <w:t>Three sets of sensitivity analyses were also carried out to assess the extent to which the association between inflammation and aging phenotypes were driven by obesity, use of anti-inflammatory drugs and acute inflammation, by excluding successively (1) obese participants (defined by a body mass index ≥30kg/m2); (2) users of anti-inflammatory medications and (3) participants with acute inflammation (C-reactiv</w:t>
      </w:r>
      <w:r>
        <w:rPr>
          <w:rFonts w:ascii="Arial" w:hAnsi="Arial" w:cs="Arial"/>
          <w:sz w:val="20"/>
          <w:szCs w:val="20"/>
        </w:rPr>
        <w:t>e protein &gt;10 mg/L) (Appendix 6</w:t>
      </w:r>
      <w:r w:rsidRPr="00A90FCD">
        <w:rPr>
          <w:rFonts w:ascii="Arial" w:hAnsi="Arial" w:cs="Arial"/>
          <w:sz w:val="20"/>
          <w:szCs w:val="20"/>
        </w:rPr>
        <w:t>).</w:t>
      </w:r>
    </w:p>
    <w:p w:rsidR="005811F2" w:rsidRPr="00A90FCD" w:rsidRDefault="005811F2" w:rsidP="005811F2">
      <w:pPr>
        <w:spacing w:after="0" w:line="240" w:lineRule="auto"/>
        <w:ind w:firstLine="720"/>
        <w:rPr>
          <w:rFonts w:ascii="Arial" w:hAnsi="Arial" w:cs="Arial"/>
          <w:sz w:val="20"/>
          <w:szCs w:val="20"/>
          <w:lang w:eastAsia="fr-FR"/>
        </w:rPr>
      </w:pPr>
      <w:r w:rsidRPr="00A90FCD">
        <w:rPr>
          <w:rFonts w:ascii="Arial" w:hAnsi="Arial" w:cs="Arial"/>
          <w:sz w:val="20"/>
          <w:szCs w:val="20"/>
        </w:rPr>
        <w:t xml:space="preserve">To assess whether the sample selection may affect the associations, two supplementary analyses were performed. First we compared the odds ratios of </w:t>
      </w:r>
      <w:r w:rsidR="002D4438" w:rsidRPr="00A90FCD">
        <w:rPr>
          <w:rFonts w:ascii="Arial" w:hAnsi="Arial" w:cs="Arial"/>
          <w:sz w:val="20"/>
          <w:szCs w:val="20"/>
        </w:rPr>
        <w:t>non</w:t>
      </w:r>
      <w:r w:rsidR="002D4438">
        <w:rPr>
          <w:rFonts w:ascii="Arial" w:hAnsi="Arial" w:cs="Arial"/>
          <w:sz w:val="20"/>
          <w:szCs w:val="20"/>
        </w:rPr>
        <w:t>-</w:t>
      </w:r>
      <w:r w:rsidR="002D4438" w:rsidRPr="00A90FCD">
        <w:rPr>
          <w:rFonts w:ascii="Arial" w:hAnsi="Arial" w:cs="Arial"/>
          <w:sz w:val="20"/>
          <w:szCs w:val="20"/>
        </w:rPr>
        <w:t>cardio</w:t>
      </w:r>
      <w:r w:rsidRPr="00A90FCD">
        <w:rPr>
          <w:rFonts w:ascii="Arial" w:hAnsi="Arial" w:cs="Arial"/>
          <w:sz w:val="20"/>
          <w:szCs w:val="20"/>
        </w:rPr>
        <w:t>vascular mortality for all 5353 participants with complete data on inflammation and cause of death to the corresponding odds ratios for the 3044 participant</w:t>
      </w:r>
      <w:r w:rsidR="002D4438">
        <w:rPr>
          <w:rFonts w:ascii="Arial" w:hAnsi="Arial" w:cs="Arial"/>
          <w:sz w:val="20"/>
          <w:szCs w:val="20"/>
        </w:rPr>
        <w:t xml:space="preserve">s included in the main analysis. </w:t>
      </w:r>
      <w:r w:rsidRPr="00A90FCD">
        <w:rPr>
          <w:rFonts w:ascii="Arial" w:hAnsi="Arial" w:cs="Arial"/>
          <w:sz w:val="20"/>
          <w:szCs w:val="20"/>
          <w:lang w:eastAsia="fr-FR"/>
        </w:rPr>
        <w:t xml:space="preserve">Second, from the sample of 4165 participants with complete data on aging phenotypes we applied a multiple imputation method to deal with missing data </w:t>
      </w:r>
      <w:r w:rsidR="002D4438">
        <w:rPr>
          <w:rFonts w:ascii="Arial" w:hAnsi="Arial" w:cs="Arial"/>
          <w:sz w:val="20"/>
          <w:szCs w:val="20"/>
          <w:lang w:eastAsia="fr-FR"/>
        </w:rPr>
        <w:t>on inflammation and covariates.</w:t>
      </w:r>
      <w:r w:rsidRPr="00A90FCD">
        <w:rPr>
          <w:rFonts w:ascii="Arial" w:hAnsi="Arial" w:cs="Arial"/>
          <w:sz w:val="20"/>
          <w:szCs w:val="20"/>
          <w:lang w:eastAsia="fr-FR"/>
        </w:rPr>
        <w:t xml:space="preserve"> </w:t>
      </w:r>
    </w:p>
    <w:p w:rsidR="005811F2" w:rsidRPr="00A90FCD" w:rsidRDefault="005811F2" w:rsidP="005811F2">
      <w:pPr>
        <w:spacing w:after="0" w:line="240" w:lineRule="auto"/>
        <w:ind w:firstLine="708"/>
        <w:rPr>
          <w:rFonts w:ascii="Arial" w:hAnsi="Arial" w:cs="Arial"/>
          <w:sz w:val="20"/>
          <w:szCs w:val="20"/>
        </w:rPr>
      </w:pPr>
      <w:r w:rsidRPr="00A90FCD">
        <w:rPr>
          <w:rFonts w:ascii="Arial" w:hAnsi="Arial" w:cs="Arial"/>
          <w:sz w:val="20"/>
          <w:szCs w:val="20"/>
          <w:lang w:eastAsia="fr-FR"/>
        </w:rPr>
        <w:t xml:space="preserve">Finally, we used </w:t>
      </w:r>
      <w:r w:rsidRPr="00A90FCD">
        <w:rPr>
          <w:rFonts w:ascii="Arial" w:hAnsi="Arial" w:cs="Arial"/>
          <w:sz w:val="20"/>
          <w:szCs w:val="20"/>
        </w:rPr>
        <w:t xml:space="preserve">net reclassification improvement statistics </w:t>
      </w:r>
      <w:r w:rsidRPr="00A90FCD">
        <w:rPr>
          <w:rFonts w:ascii="Arial" w:hAnsi="Arial" w:cs="Arial"/>
          <w:noProof/>
          <w:sz w:val="20"/>
          <w:szCs w:val="20"/>
        </w:rPr>
        <w:t>[</w:t>
      </w:r>
      <w:r>
        <w:rPr>
          <w:rFonts w:ascii="Arial" w:hAnsi="Arial" w:cs="Arial"/>
          <w:noProof/>
          <w:sz w:val="20"/>
          <w:szCs w:val="20"/>
        </w:rPr>
        <w:t>1</w:t>
      </w:r>
      <w:r w:rsidRPr="00A90FCD">
        <w:rPr>
          <w:rFonts w:ascii="Arial" w:hAnsi="Arial" w:cs="Arial"/>
          <w:noProof/>
          <w:sz w:val="20"/>
          <w:szCs w:val="20"/>
        </w:rPr>
        <w:t xml:space="preserve">, </w:t>
      </w:r>
      <w:r>
        <w:rPr>
          <w:rFonts w:ascii="Arial" w:hAnsi="Arial" w:cs="Arial"/>
          <w:noProof/>
          <w:sz w:val="20"/>
          <w:szCs w:val="20"/>
        </w:rPr>
        <w:t>2</w:t>
      </w:r>
      <w:r w:rsidRPr="00A90FCD">
        <w:rPr>
          <w:rFonts w:ascii="Arial" w:hAnsi="Arial" w:cs="Arial"/>
          <w:noProof/>
          <w:sz w:val="20"/>
          <w:szCs w:val="20"/>
        </w:rPr>
        <w:t>]</w:t>
      </w:r>
      <w:r w:rsidRPr="00A90FCD">
        <w:rPr>
          <w:rFonts w:ascii="Arial" w:hAnsi="Arial" w:cs="Arial"/>
          <w:sz w:val="20"/>
          <w:szCs w:val="20"/>
          <w:lang w:eastAsia="fr-FR"/>
        </w:rPr>
        <w:t xml:space="preserve"> to examine the extent by which </w:t>
      </w:r>
      <w:r w:rsidRPr="00A90FCD">
        <w:rPr>
          <w:rFonts w:ascii="Arial" w:hAnsi="Arial" w:cs="Arial"/>
          <w:sz w:val="20"/>
          <w:szCs w:val="20"/>
        </w:rPr>
        <w:t>assessing inflammation level by using two repeated measure</w:t>
      </w:r>
      <w:r>
        <w:rPr>
          <w:rFonts w:ascii="Arial" w:hAnsi="Arial" w:cs="Arial"/>
          <w:sz w:val="20"/>
          <w:szCs w:val="20"/>
        </w:rPr>
        <w:t>ments</w:t>
      </w:r>
      <w:r w:rsidRPr="00A90FCD">
        <w:rPr>
          <w:rFonts w:ascii="Arial" w:hAnsi="Arial" w:cs="Arial"/>
          <w:sz w:val="20"/>
          <w:szCs w:val="20"/>
        </w:rPr>
        <w:t xml:space="preserve"> – as compared to using a single measurement - provide a stronger predictor for future aging phenotypes (Appendix </w:t>
      </w:r>
      <w:r w:rsidR="002D4438">
        <w:rPr>
          <w:rFonts w:ascii="Arial" w:hAnsi="Arial" w:cs="Arial"/>
          <w:sz w:val="20"/>
          <w:szCs w:val="20"/>
        </w:rPr>
        <w:t>7</w:t>
      </w:r>
      <w:r w:rsidRPr="00A90FCD">
        <w:rPr>
          <w:rFonts w:ascii="Arial" w:hAnsi="Arial" w:cs="Arial"/>
          <w:sz w:val="20"/>
          <w:szCs w:val="20"/>
        </w:rPr>
        <w:t>).</w:t>
      </w:r>
    </w:p>
    <w:p w:rsidR="005811F2" w:rsidRPr="00C23C75" w:rsidRDefault="005811F2" w:rsidP="005811F2">
      <w:pPr>
        <w:spacing w:after="0" w:line="240" w:lineRule="auto"/>
        <w:rPr>
          <w:rFonts w:ascii="Arial" w:hAnsi="Arial" w:cs="Arial"/>
          <w:sz w:val="20"/>
          <w:szCs w:val="20"/>
        </w:rPr>
      </w:pPr>
      <w:r w:rsidRPr="00C23C75">
        <w:rPr>
          <w:rFonts w:ascii="Arial" w:hAnsi="Arial" w:cs="Arial"/>
          <w:b/>
          <w:sz w:val="20"/>
          <w:szCs w:val="20"/>
        </w:rPr>
        <w:t>References</w:t>
      </w:r>
    </w:p>
    <w:p w:rsidR="005811F2" w:rsidRPr="00C23C75" w:rsidRDefault="005811F2" w:rsidP="005811F2">
      <w:pPr>
        <w:spacing w:after="0" w:line="240" w:lineRule="auto"/>
        <w:ind w:left="720" w:hanging="720"/>
        <w:rPr>
          <w:rFonts w:cs="Arial"/>
          <w:noProof/>
          <w:szCs w:val="20"/>
        </w:rPr>
      </w:pPr>
      <w:r w:rsidRPr="00C23C75">
        <w:rPr>
          <w:rFonts w:cs="Arial"/>
          <w:noProof/>
          <w:szCs w:val="20"/>
        </w:rPr>
        <w:t>1.</w:t>
      </w:r>
      <w:r w:rsidRPr="00C23C75">
        <w:rPr>
          <w:rFonts w:cs="Arial"/>
          <w:noProof/>
          <w:szCs w:val="20"/>
        </w:rPr>
        <w:tab/>
        <w:t xml:space="preserve">Pencina, M.J., et al., </w:t>
      </w:r>
      <w:r w:rsidRPr="00C23C75">
        <w:rPr>
          <w:rFonts w:cs="Arial"/>
          <w:i/>
          <w:noProof/>
          <w:szCs w:val="20"/>
        </w:rPr>
        <w:t>Evaluating the added predictive ability of a new marker: from area under the ROC curve to reclassification and beyond.</w:t>
      </w:r>
      <w:r w:rsidRPr="00C23C75">
        <w:rPr>
          <w:rFonts w:cs="Arial"/>
          <w:noProof/>
          <w:szCs w:val="20"/>
        </w:rPr>
        <w:t xml:space="preserve"> Stat Med, 2008. </w:t>
      </w:r>
      <w:r w:rsidRPr="00C23C75">
        <w:rPr>
          <w:rFonts w:cs="Arial"/>
          <w:b/>
          <w:noProof/>
          <w:szCs w:val="20"/>
        </w:rPr>
        <w:t>27</w:t>
      </w:r>
      <w:r w:rsidRPr="00C23C75">
        <w:rPr>
          <w:rFonts w:cs="Arial"/>
          <w:noProof/>
          <w:szCs w:val="20"/>
        </w:rPr>
        <w:t>(2): p. 157-72.</w:t>
      </w:r>
    </w:p>
    <w:p w:rsidR="005811F2" w:rsidRPr="00C23C75" w:rsidRDefault="005811F2" w:rsidP="005811F2">
      <w:pPr>
        <w:spacing w:after="0" w:line="240" w:lineRule="auto"/>
        <w:ind w:left="720" w:hanging="720"/>
        <w:rPr>
          <w:rFonts w:cs="Arial"/>
          <w:noProof/>
          <w:szCs w:val="20"/>
        </w:rPr>
      </w:pPr>
      <w:r w:rsidRPr="00C23C75">
        <w:rPr>
          <w:rFonts w:cs="Arial"/>
          <w:noProof/>
          <w:szCs w:val="20"/>
        </w:rPr>
        <w:t>2.</w:t>
      </w:r>
      <w:r w:rsidRPr="00C23C75">
        <w:rPr>
          <w:rFonts w:cs="Arial"/>
          <w:noProof/>
          <w:szCs w:val="20"/>
        </w:rPr>
        <w:tab/>
        <w:t xml:space="preserve">Pencina, M.J., R.B. D'Agostino, Sr., and E.W. Steyerberg, </w:t>
      </w:r>
      <w:r w:rsidRPr="00C23C75">
        <w:rPr>
          <w:rFonts w:cs="Arial"/>
          <w:i/>
          <w:noProof/>
          <w:szCs w:val="20"/>
        </w:rPr>
        <w:t>Extensions of net reclassification improvement calculations to measure usefulness of new biomarkers.</w:t>
      </w:r>
      <w:r w:rsidRPr="00C23C75">
        <w:rPr>
          <w:rFonts w:cs="Arial"/>
          <w:noProof/>
          <w:szCs w:val="20"/>
        </w:rPr>
        <w:t xml:space="preserve"> Stat Med, 2011. </w:t>
      </w:r>
      <w:r w:rsidRPr="00C23C75">
        <w:rPr>
          <w:rFonts w:cs="Arial"/>
          <w:b/>
          <w:noProof/>
          <w:szCs w:val="20"/>
        </w:rPr>
        <w:t>30</w:t>
      </w:r>
      <w:r w:rsidRPr="00C23C75">
        <w:rPr>
          <w:rFonts w:cs="Arial"/>
          <w:noProof/>
          <w:szCs w:val="20"/>
        </w:rPr>
        <w:t>(1): p. 11-21.</w:t>
      </w:r>
    </w:p>
    <w:p w:rsidR="005811F2" w:rsidRPr="00C23C75" w:rsidRDefault="005811F2" w:rsidP="005811F2">
      <w:pPr>
        <w:spacing w:after="0" w:line="240" w:lineRule="auto"/>
        <w:rPr>
          <w:rFonts w:ascii="Arial" w:hAnsi="Arial" w:cs="Arial"/>
          <w:sz w:val="20"/>
          <w:szCs w:val="20"/>
        </w:rPr>
      </w:pPr>
    </w:p>
    <w:p w:rsidR="005D5DF3" w:rsidRPr="00A90FCD" w:rsidRDefault="005D5DF3" w:rsidP="00896A55">
      <w:pPr>
        <w:spacing w:after="0" w:line="240" w:lineRule="auto"/>
        <w:rPr>
          <w:rFonts w:ascii="Arial" w:hAnsi="Arial" w:cs="Arial"/>
          <w:sz w:val="20"/>
          <w:szCs w:val="20"/>
        </w:rPr>
      </w:pPr>
    </w:p>
    <w:p w:rsidR="005D5DF3" w:rsidRPr="00A90FCD" w:rsidRDefault="005D5DF3" w:rsidP="00896A55">
      <w:pPr>
        <w:spacing w:after="0" w:line="240" w:lineRule="auto"/>
        <w:rPr>
          <w:rFonts w:ascii="Arial" w:hAnsi="Arial" w:cs="Arial"/>
          <w:sz w:val="20"/>
          <w:szCs w:val="20"/>
        </w:rPr>
      </w:pPr>
    </w:p>
    <w:p w:rsidR="001A1632" w:rsidRDefault="001A1632" w:rsidP="001A1632">
      <w:pPr>
        <w:tabs>
          <w:tab w:val="left" w:pos="993"/>
        </w:tabs>
        <w:spacing w:after="0" w:line="240" w:lineRule="auto"/>
        <w:rPr>
          <w:rFonts w:ascii="Arial" w:hAnsi="Arial" w:cs="Arial"/>
          <w:color w:val="FF0000"/>
          <w:sz w:val="20"/>
          <w:szCs w:val="20"/>
        </w:rPr>
      </w:pPr>
    </w:p>
    <w:p w:rsidR="00635648" w:rsidRDefault="00635648" w:rsidP="001A1632">
      <w:pPr>
        <w:tabs>
          <w:tab w:val="left" w:pos="993"/>
        </w:tabs>
        <w:spacing w:after="0" w:line="240" w:lineRule="auto"/>
        <w:rPr>
          <w:rFonts w:ascii="Arial" w:hAnsi="Arial" w:cs="Arial"/>
          <w:color w:val="FF0000"/>
          <w:sz w:val="20"/>
          <w:szCs w:val="20"/>
        </w:rPr>
      </w:pPr>
    </w:p>
    <w:p w:rsidR="00635648" w:rsidRDefault="00635648" w:rsidP="001A1632">
      <w:pPr>
        <w:tabs>
          <w:tab w:val="left" w:pos="993"/>
        </w:tabs>
        <w:spacing w:after="0" w:line="240" w:lineRule="auto"/>
        <w:rPr>
          <w:rFonts w:ascii="Arial" w:hAnsi="Arial" w:cs="Arial"/>
          <w:color w:val="FF0000"/>
          <w:sz w:val="20"/>
          <w:szCs w:val="20"/>
        </w:rPr>
      </w:pPr>
    </w:p>
    <w:p w:rsidR="00635648" w:rsidRDefault="00635648" w:rsidP="001A1632">
      <w:pPr>
        <w:tabs>
          <w:tab w:val="left" w:pos="993"/>
        </w:tabs>
        <w:spacing w:after="0" w:line="240" w:lineRule="auto"/>
        <w:rPr>
          <w:rFonts w:ascii="Arial" w:hAnsi="Arial" w:cs="Arial"/>
          <w:color w:val="FF0000"/>
          <w:sz w:val="20"/>
          <w:szCs w:val="20"/>
        </w:rPr>
      </w:pPr>
    </w:p>
    <w:p w:rsidR="005D5DF3" w:rsidRPr="005C3CFB" w:rsidRDefault="005D5DF3" w:rsidP="00896A55">
      <w:pPr>
        <w:spacing w:after="0" w:line="240" w:lineRule="auto"/>
        <w:ind w:left="720" w:hanging="720"/>
        <w:rPr>
          <w:rFonts w:ascii="Arial" w:hAnsi="Arial" w:cs="Arial"/>
          <w:sz w:val="20"/>
          <w:szCs w:val="20"/>
        </w:rPr>
        <w:sectPr w:rsidR="005D5DF3" w:rsidRPr="005C3CFB" w:rsidSect="00896A55">
          <w:pgSz w:w="11906" w:h="16838"/>
          <w:pgMar w:top="1417" w:right="1417" w:bottom="1417" w:left="1417" w:header="708" w:footer="708" w:gutter="0"/>
          <w:cols w:space="708"/>
          <w:docGrid w:linePitch="360"/>
        </w:sectPr>
      </w:pPr>
    </w:p>
    <w:p w:rsidR="005D5DF3" w:rsidRPr="00B9057E" w:rsidRDefault="005D5DF3" w:rsidP="00896A55">
      <w:pPr>
        <w:tabs>
          <w:tab w:val="left" w:pos="993"/>
        </w:tabs>
        <w:spacing w:after="0" w:line="240" w:lineRule="auto"/>
        <w:rPr>
          <w:rFonts w:ascii="Arial" w:hAnsi="Arial" w:cs="Arial"/>
          <w:b/>
          <w:color w:val="FF0000"/>
          <w:sz w:val="20"/>
          <w:szCs w:val="20"/>
        </w:rPr>
      </w:pPr>
      <w:r w:rsidRPr="00B9057E">
        <w:rPr>
          <w:rFonts w:ascii="Arial" w:hAnsi="Arial" w:cs="Arial"/>
          <w:b/>
          <w:color w:val="FF0000"/>
          <w:sz w:val="20"/>
          <w:szCs w:val="20"/>
        </w:rPr>
        <w:lastRenderedPageBreak/>
        <w:t xml:space="preserve">Appendix 5: Full adjusted association </w:t>
      </w:r>
      <w:r w:rsidRPr="00B9057E">
        <w:rPr>
          <w:rFonts w:ascii="Arial" w:hAnsi="Arial" w:cs="Arial"/>
          <w:b/>
          <w:bCs/>
          <w:color w:val="FF0000"/>
          <w:sz w:val="20"/>
          <w:szCs w:val="20"/>
        </w:rPr>
        <w:t xml:space="preserve">between interleukin-6 </w:t>
      </w:r>
      <w:r w:rsidR="00901181">
        <w:rPr>
          <w:rFonts w:ascii="Arial" w:hAnsi="Arial" w:cs="Arial"/>
          <w:b/>
          <w:bCs/>
          <w:color w:val="FF0000"/>
          <w:sz w:val="20"/>
          <w:szCs w:val="20"/>
        </w:rPr>
        <w:t xml:space="preserve">levels </w:t>
      </w:r>
      <w:r w:rsidRPr="00B9057E">
        <w:rPr>
          <w:rFonts w:ascii="Arial" w:hAnsi="Arial" w:cs="Arial"/>
          <w:b/>
          <w:color w:val="FF0000"/>
          <w:sz w:val="20"/>
          <w:szCs w:val="20"/>
          <w:lang w:eastAsia="fr-FR"/>
        </w:rPr>
        <w:t>at baseline (1997-99) and</w:t>
      </w:r>
      <w:r w:rsidRPr="00B9057E">
        <w:rPr>
          <w:rFonts w:ascii="Arial" w:hAnsi="Arial" w:cs="Arial"/>
          <w:b/>
          <w:bCs/>
          <w:color w:val="FF0000"/>
          <w:sz w:val="20"/>
          <w:szCs w:val="20"/>
        </w:rPr>
        <w:t xml:space="preserve"> over the 5-y exposure period</w:t>
      </w:r>
      <w:r w:rsidRPr="00B9057E">
        <w:rPr>
          <w:rFonts w:ascii="Arial" w:hAnsi="Arial" w:cs="Arial"/>
          <w:b/>
          <w:color w:val="FF0000"/>
          <w:sz w:val="20"/>
          <w:szCs w:val="20"/>
        </w:rPr>
        <w:t xml:space="preserve"> </w:t>
      </w:r>
      <w:r w:rsidR="00896A55" w:rsidRPr="00B9057E">
        <w:rPr>
          <w:rFonts w:ascii="Arial" w:hAnsi="Arial" w:cs="Arial"/>
          <w:b/>
          <w:color w:val="FF0000"/>
          <w:sz w:val="20"/>
          <w:szCs w:val="20"/>
        </w:rPr>
        <w:t xml:space="preserve">(5-y before baseline and at baseline) </w:t>
      </w:r>
      <w:r w:rsidRPr="00B9057E">
        <w:rPr>
          <w:rFonts w:ascii="Arial" w:hAnsi="Arial" w:cs="Arial"/>
          <w:b/>
          <w:color w:val="FF0000"/>
          <w:sz w:val="20"/>
          <w:szCs w:val="20"/>
        </w:rPr>
        <w:t xml:space="preserve">and subsequent aging phenotype </w:t>
      </w:r>
      <w:r w:rsidR="00B9057E" w:rsidRPr="00B9057E">
        <w:rPr>
          <w:rFonts w:ascii="Arial" w:hAnsi="Arial" w:cs="Arial"/>
          <w:b/>
          <w:color w:val="FF0000"/>
          <w:sz w:val="20"/>
          <w:szCs w:val="20"/>
        </w:rPr>
        <w:t xml:space="preserve">at </w:t>
      </w:r>
      <w:r w:rsidRPr="00B9057E">
        <w:rPr>
          <w:rFonts w:ascii="Arial" w:hAnsi="Arial" w:cs="Arial"/>
          <w:b/>
          <w:color w:val="FF0000"/>
          <w:sz w:val="20"/>
          <w:szCs w:val="20"/>
        </w:rPr>
        <w:t>10-y of follow-up within a single analytic setting with normal ageing as the common reference point for all three outcomes (n=3044)*</w:t>
      </w:r>
    </w:p>
    <w:p w:rsidR="005D5DF3" w:rsidRPr="00896A55" w:rsidRDefault="005D5DF3" w:rsidP="00896A55">
      <w:pPr>
        <w:tabs>
          <w:tab w:val="left" w:pos="993"/>
        </w:tabs>
        <w:spacing w:after="0" w:line="240" w:lineRule="auto"/>
        <w:rPr>
          <w:rFonts w:ascii="Arial" w:hAnsi="Arial" w:cs="Arial"/>
          <w:sz w:val="20"/>
          <w:szCs w:val="20"/>
        </w:rPr>
      </w:pPr>
    </w:p>
    <w:tbl>
      <w:tblPr>
        <w:tblpPr w:leftFromText="181" w:rightFromText="181" w:vertAnchor="text" w:horzAnchor="margin" w:tblpY="643"/>
        <w:tblOverlap w:val="never"/>
        <w:tblW w:w="0" w:type="auto"/>
        <w:tblBorders>
          <w:top w:val="single" w:sz="4" w:space="0" w:color="auto"/>
          <w:bottom w:val="single" w:sz="4" w:space="0" w:color="auto"/>
        </w:tblBorders>
        <w:tblLook w:val="00A0"/>
      </w:tblPr>
      <w:tblGrid>
        <w:gridCol w:w="2907"/>
        <w:gridCol w:w="222"/>
        <w:gridCol w:w="606"/>
        <w:gridCol w:w="1051"/>
        <w:gridCol w:w="222"/>
        <w:gridCol w:w="228"/>
        <w:gridCol w:w="620"/>
        <w:gridCol w:w="1076"/>
        <w:gridCol w:w="227"/>
        <w:gridCol w:w="111"/>
        <w:gridCol w:w="111"/>
        <w:gridCol w:w="606"/>
        <w:gridCol w:w="1051"/>
        <w:gridCol w:w="222"/>
      </w:tblGrid>
      <w:tr w:rsidR="00896A55" w:rsidRPr="00B879C1" w:rsidTr="00A90FCD">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4"/>
          </w:tcPr>
          <w:p w:rsidR="005D5DF3" w:rsidRPr="00B879C1" w:rsidRDefault="005D5DF3" w:rsidP="00896A55">
            <w:pPr>
              <w:tabs>
                <w:tab w:val="left" w:pos="993"/>
              </w:tabs>
              <w:spacing w:after="0" w:line="240" w:lineRule="auto"/>
              <w:jc w:val="center"/>
              <w:rPr>
                <w:rFonts w:ascii="Arial" w:hAnsi="Arial" w:cs="Arial"/>
                <w:bCs/>
                <w:color w:val="FF0000"/>
                <w:sz w:val="20"/>
                <w:szCs w:val="20"/>
              </w:rPr>
            </w:pPr>
            <w:r w:rsidRPr="00B879C1">
              <w:rPr>
                <w:rFonts w:ascii="Arial" w:hAnsi="Arial" w:cs="Arial"/>
                <w:bCs/>
                <w:color w:val="FF0000"/>
                <w:sz w:val="20"/>
                <w:szCs w:val="20"/>
              </w:rPr>
              <w:t>Successful aging</w:t>
            </w:r>
          </w:p>
        </w:tc>
        <w:tc>
          <w:tcPr>
            <w:tcW w:w="0" w:type="auto"/>
            <w:gridSpan w:val="4"/>
          </w:tcPr>
          <w:p w:rsidR="005D5DF3" w:rsidRPr="00B879C1" w:rsidRDefault="005D5DF3" w:rsidP="00896A55">
            <w:pPr>
              <w:tabs>
                <w:tab w:val="left" w:pos="993"/>
              </w:tabs>
              <w:spacing w:after="0" w:line="240" w:lineRule="auto"/>
              <w:jc w:val="center"/>
              <w:rPr>
                <w:rFonts w:ascii="Arial" w:hAnsi="Arial" w:cs="Arial"/>
                <w:bCs/>
                <w:color w:val="FF0000"/>
                <w:sz w:val="20"/>
                <w:szCs w:val="20"/>
              </w:rPr>
            </w:pPr>
            <w:r w:rsidRPr="00B879C1">
              <w:rPr>
                <w:rFonts w:ascii="Arial" w:hAnsi="Arial" w:cs="Arial"/>
                <w:bCs/>
                <w:color w:val="FF0000"/>
                <w:sz w:val="20"/>
                <w:szCs w:val="20"/>
              </w:rPr>
              <w:t>Fatal or Non Fatal</w:t>
            </w:r>
          </w:p>
          <w:p w:rsidR="005D5DF3" w:rsidRPr="00B879C1" w:rsidRDefault="005D5DF3" w:rsidP="00896A55">
            <w:pPr>
              <w:tabs>
                <w:tab w:val="left" w:pos="993"/>
              </w:tabs>
              <w:spacing w:after="0" w:line="240" w:lineRule="auto"/>
              <w:jc w:val="center"/>
              <w:rPr>
                <w:rFonts w:ascii="Arial" w:hAnsi="Arial" w:cs="Arial"/>
                <w:bCs/>
                <w:color w:val="FF0000"/>
                <w:sz w:val="20"/>
                <w:szCs w:val="20"/>
              </w:rPr>
            </w:pPr>
            <w:r w:rsidRPr="00B879C1">
              <w:rPr>
                <w:rFonts w:ascii="Arial" w:hAnsi="Arial" w:cs="Arial"/>
                <w:bCs/>
                <w:color w:val="FF0000"/>
                <w:sz w:val="20"/>
                <w:szCs w:val="20"/>
              </w:rPr>
              <w:t>cardiovascular events</w:t>
            </w:r>
          </w:p>
        </w:tc>
        <w:tc>
          <w:tcPr>
            <w:tcW w:w="0" w:type="auto"/>
            <w:gridSpan w:val="5"/>
          </w:tcPr>
          <w:p w:rsidR="005D5DF3" w:rsidRPr="00B879C1" w:rsidRDefault="005D5DF3" w:rsidP="00896A55">
            <w:pPr>
              <w:tabs>
                <w:tab w:val="left" w:pos="993"/>
              </w:tabs>
              <w:spacing w:after="0" w:line="240" w:lineRule="auto"/>
              <w:jc w:val="center"/>
              <w:rPr>
                <w:rFonts w:ascii="Arial" w:hAnsi="Arial" w:cs="Arial"/>
                <w:bCs/>
                <w:color w:val="FF0000"/>
                <w:sz w:val="20"/>
                <w:szCs w:val="20"/>
              </w:rPr>
            </w:pPr>
            <w:r w:rsidRPr="00B879C1">
              <w:rPr>
                <w:rFonts w:ascii="Arial" w:hAnsi="Arial" w:cs="Arial"/>
                <w:bCs/>
                <w:color w:val="FF0000"/>
                <w:sz w:val="20"/>
                <w:szCs w:val="20"/>
              </w:rPr>
              <w:t>Non CVD Death</w:t>
            </w:r>
          </w:p>
        </w:tc>
      </w:tr>
      <w:tr w:rsidR="00896A55" w:rsidRPr="00B879C1" w:rsidTr="00A90FCD">
        <w:tc>
          <w:tcPr>
            <w:tcW w:w="0" w:type="auto"/>
            <w:tcBorders>
              <w:bottom w:val="single" w:sz="4" w:space="0" w:color="auto"/>
            </w:tcBorders>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2"/>
            <w:tcBorders>
              <w:bottom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p>
        </w:tc>
        <w:tc>
          <w:tcPr>
            <w:tcW w:w="0" w:type="auto"/>
            <w:tcBorders>
              <w:bottom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p>
        </w:tc>
        <w:tc>
          <w:tcPr>
            <w:tcW w:w="0" w:type="auto"/>
            <w:tcBorders>
              <w:bottom w:val="single" w:sz="4" w:space="0" w:color="auto"/>
            </w:tcBorders>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2"/>
            <w:tcBorders>
              <w:bottom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p>
        </w:tc>
        <w:tc>
          <w:tcPr>
            <w:tcW w:w="0" w:type="auto"/>
            <w:tcBorders>
              <w:bottom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p>
        </w:tc>
        <w:tc>
          <w:tcPr>
            <w:tcW w:w="0" w:type="auto"/>
            <w:tcBorders>
              <w:bottom w:val="single" w:sz="4" w:space="0" w:color="auto"/>
            </w:tcBorders>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3"/>
            <w:tcBorders>
              <w:bottom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p>
        </w:tc>
        <w:tc>
          <w:tcPr>
            <w:tcW w:w="0" w:type="auto"/>
            <w:tcBorders>
              <w:bottom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p>
        </w:tc>
        <w:tc>
          <w:tcPr>
            <w:tcW w:w="0" w:type="auto"/>
            <w:tcBorders>
              <w:bottom w:val="single" w:sz="4" w:space="0" w:color="auto"/>
            </w:tcBorders>
          </w:tcPr>
          <w:p w:rsidR="005D5DF3" w:rsidRPr="00B879C1" w:rsidRDefault="005D5DF3" w:rsidP="00896A55">
            <w:pPr>
              <w:tabs>
                <w:tab w:val="left" w:pos="993"/>
              </w:tabs>
              <w:spacing w:after="0" w:line="240" w:lineRule="auto"/>
              <w:rPr>
                <w:rFonts w:ascii="Arial" w:hAnsi="Arial" w:cs="Arial"/>
                <w:sz w:val="20"/>
                <w:szCs w:val="20"/>
              </w:rPr>
            </w:pPr>
          </w:p>
        </w:tc>
      </w:tr>
      <w:tr w:rsidR="00B879C1" w:rsidRPr="00B879C1" w:rsidTr="00A90FCD">
        <w:tc>
          <w:tcPr>
            <w:tcW w:w="0" w:type="auto"/>
            <w:tcBorders>
              <w:top w:val="single" w:sz="4" w:space="0" w:color="auto"/>
              <w:bottom w:val="single" w:sz="4" w:space="0" w:color="auto"/>
            </w:tcBorders>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tcBorders>
              <w:top w:val="single" w:sz="4" w:space="0" w:color="auto"/>
              <w:bottom w:val="single" w:sz="4" w:space="0" w:color="auto"/>
            </w:tcBorders>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Borders>
              <w:top w:val="single" w:sz="4" w:space="0" w:color="auto"/>
              <w:bottom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OR</w:t>
            </w:r>
          </w:p>
        </w:tc>
        <w:tc>
          <w:tcPr>
            <w:tcW w:w="0" w:type="auto"/>
            <w:tcBorders>
              <w:top w:val="single" w:sz="4" w:space="0" w:color="auto"/>
              <w:bottom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95 %CI</w:t>
            </w:r>
          </w:p>
        </w:tc>
        <w:tc>
          <w:tcPr>
            <w:tcW w:w="0" w:type="auto"/>
            <w:tcBorders>
              <w:top w:val="single" w:sz="4" w:space="0" w:color="auto"/>
              <w:bottom w:val="single" w:sz="4" w:space="0" w:color="auto"/>
            </w:tcBorders>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tcBorders>
              <w:top w:val="single" w:sz="4" w:space="0" w:color="auto"/>
              <w:bottom w:val="single" w:sz="4" w:space="0" w:color="auto"/>
            </w:tcBorders>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Borders>
              <w:top w:val="single" w:sz="4" w:space="0" w:color="auto"/>
              <w:bottom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OR</w:t>
            </w:r>
          </w:p>
        </w:tc>
        <w:tc>
          <w:tcPr>
            <w:tcW w:w="0" w:type="auto"/>
            <w:tcBorders>
              <w:top w:val="single" w:sz="4" w:space="0" w:color="auto"/>
              <w:bottom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95 %CI</w:t>
            </w:r>
          </w:p>
        </w:tc>
        <w:tc>
          <w:tcPr>
            <w:tcW w:w="0" w:type="auto"/>
            <w:tcBorders>
              <w:top w:val="single" w:sz="4" w:space="0" w:color="auto"/>
              <w:bottom w:val="single" w:sz="4" w:space="0" w:color="auto"/>
            </w:tcBorders>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2"/>
            <w:tcBorders>
              <w:top w:val="single" w:sz="4" w:space="0" w:color="auto"/>
              <w:bottom w:val="single" w:sz="4" w:space="0" w:color="auto"/>
            </w:tcBorders>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Borders>
              <w:top w:val="single" w:sz="4" w:space="0" w:color="auto"/>
              <w:bottom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OR</w:t>
            </w:r>
          </w:p>
        </w:tc>
        <w:tc>
          <w:tcPr>
            <w:tcW w:w="0" w:type="auto"/>
            <w:tcBorders>
              <w:top w:val="single" w:sz="4" w:space="0" w:color="auto"/>
              <w:bottom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95 %CI</w:t>
            </w:r>
          </w:p>
        </w:tc>
        <w:tc>
          <w:tcPr>
            <w:tcW w:w="0" w:type="auto"/>
            <w:tcBorders>
              <w:top w:val="single" w:sz="4" w:space="0" w:color="auto"/>
              <w:bottom w:val="single" w:sz="4" w:space="0" w:color="auto"/>
            </w:tcBorders>
          </w:tcPr>
          <w:p w:rsidR="005D5DF3" w:rsidRPr="00B879C1" w:rsidRDefault="005D5DF3" w:rsidP="00896A55">
            <w:pPr>
              <w:tabs>
                <w:tab w:val="left" w:pos="993"/>
              </w:tabs>
              <w:spacing w:after="0" w:line="240" w:lineRule="auto"/>
              <w:rPr>
                <w:rFonts w:ascii="Arial" w:hAnsi="Arial" w:cs="Arial"/>
                <w:sz w:val="20"/>
                <w:szCs w:val="20"/>
              </w:rPr>
            </w:pPr>
          </w:p>
        </w:tc>
      </w:tr>
      <w:tr w:rsidR="00896A55" w:rsidRPr="00B879C1" w:rsidTr="00A90FCD">
        <w:tc>
          <w:tcPr>
            <w:tcW w:w="0" w:type="auto"/>
            <w:tcBorders>
              <w:top w:val="single" w:sz="4" w:space="0" w:color="auto"/>
            </w:tcBorders>
          </w:tcPr>
          <w:p w:rsidR="005D5DF3" w:rsidRPr="00B879C1" w:rsidRDefault="005D5DF3" w:rsidP="00896A55">
            <w:pPr>
              <w:tabs>
                <w:tab w:val="left" w:pos="993"/>
              </w:tabs>
              <w:spacing w:after="0" w:line="240" w:lineRule="auto"/>
              <w:rPr>
                <w:rFonts w:ascii="Arial" w:hAnsi="Arial" w:cs="Arial"/>
                <w:color w:val="FF0000"/>
                <w:sz w:val="20"/>
                <w:szCs w:val="20"/>
              </w:rPr>
            </w:pPr>
            <w:r w:rsidRPr="00B879C1">
              <w:rPr>
                <w:rFonts w:ascii="Arial" w:hAnsi="Arial" w:cs="Arial"/>
                <w:bCs/>
                <w:color w:val="FF0000"/>
                <w:sz w:val="20"/>
                <w:szCs w:val="20"/>
              </w:rPr>
              <w:t xml:space="preserve">Interleukin-6 levels </w:t>
            </w:r>
            <w:r w:rsidR="00896A55" w:rsidRPr="00B879C1">
              <w:rPr>
                <w:rFonts w:ascii="Arial" w:hAnsi="Arial" w:cs="Arial"/>
                <w:bCs/>
                <w:color w:val="FF0000"/>
                <w:sz w:val="20"/>
                <w:szCs w:val="20"/>
              </w:rPr>
              <w:t>at baseline</w:t>
            </w:r>
          </w:p>
        </w:tc>
        <w:tc>
          <w:tcPr>
            <w:tcW w:w="0" w:type="auto"/>
            <w:gridSpan w:val="2"/>
            <w:tcBorders>
              <w:top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p>
        </w:tc>
        <w:tc>
          <w:tcPr>
            <w:tcW w:w="0" w:type="auto"/>
            <w:tcBorders>
              <w:top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p>
        </w:tc>
        <w:tc>
          <w:tcPr>
            <w:tcW w:w="0" w:type="auto"/>
            <w:tcBorders>
              <w:top w:val="single" w:sz="4" w:space="0" w:color="auto"/>
            </w:tcBorders>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2"/>
            <w:tcBorders>
              <w:top w:val="single" w:sz="4" w:space="0" w:color="auto"/>
            </w:tcBorders>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Borders>
              <w:top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p>
        </w:tc>
        <w:tc>
          <w:tcPr>
            <w:tcW w:w="0" w:type="auto"/>
            <w:tcBorders>
              <w:top w:val="single" w:sz="4" w:space="0" w:color="auto"/>
            </w:tcBorders>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3"/>
            <w:tcBorders>
              <w:top w:val="single" w:sz="4" w:space="0" w:color="auto"/>
            </w:tcBorders>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Borders>
              <w:top w:val="single" w:sz="4" w:space="0" w:color="auto"/>
            </w:tcBorders>
          </w:tcPr>
          <w:p w:rsidR="005D5DF3" w:rsidRPr="00B879C1" w:rsidRDefault="005D5DF3" w:rsidP="00896A55">
            <w:pPr>
              <w:tabs>
                <w:tab w:val="left" w:pos="993"/>
              </w:tabs>
              <w:spacing w:after="0" w:line="240" w:lineRule="auto"/>
              <w:jc w:val="center"/>
              <w:rPr>
                <w:rFonts w:ascii="Arial" w:hAnsi="Arial" w:cs="Arial"/>
                <w:color w:val="FF0000"/>
                <w:sz w:val="20"/>
                <w:szCs w:val="20"/>
              </w:rPr>
            </w:pPr>
          </w:p>
        </w:tc>
        <w:tc>
          <w:tcPr>
            <w:tcW w:w="0" w:type="auto"/>
            <w:tcBorders>
              <w:top w:val="single" w:sz="4" w:space="0" w:color="auto"/>
            </w:tcBorders>
          </w:tcPr>
          <w:p w:rsidR="005D5DF3" w:rsidRPr="00B879C1" w:rsidRDefault="005D5DF3" w:rsidP="00896A55">
            <w:pPr>
              <w:tabs>
                <w:tab w:val="left" w:pos="993"/>
              </w:tabs>
              <w:spacing w:after="0" w:line="240" w:lineRule="auto"/>
              <w:rPr>
                <w:rFonts w:ascii="Arial" w:hAnsi="Arial" w:cs="Arial"/>
                <w:sz w:val="20"/>
                <w:szCs w:val="20"/>
              </w:rPr>
            </w:pPr>
          </w:p>
        </w:tc>
      </w:tr>
      <w:tr w:rsidR="00B879C1" w:rsidRPr="00B879C1" w:rsidTr="00A90FCD">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r w:rsidRPr="00B879C1">
              <w:rPr>
                <w:rFonts w:ascii="Arial" w:hAnsi="Arial" w:cs="Arial"/>
                <w:color w:val="FF0000"/>
                <w:sz w:val="20"/>
                <w:szCs w:val="20"/>
              </w:rPr>
              <w:t>Low (756)</w:t>
            </w:r>
          </w:p>
        </w:tc>
        <w:tc>
          <w:tcPr>
            <w:tcW w:w="0" w:type="auto"/>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1</w:t>
            </w: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ref</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1</w:t>
            </w: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ref</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2"/>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1</w:t>
            </w: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ref</w:t>
            </w:r>
          </w:p>
        </w:tc>
        <w:tc>
          <w:tcPr>
            <w:tcW w:w="0" w:type="auto"/>
          </w:tcPr>
          <w:p w:rsidR="005D5DF3" w:rsidRPr="00B879C1" w:rsidRDefault="005D5DF3" w:rsidP="00896A55">
            <w:pPr>
              <w:tabs>
                <w:tab w:val="left" w:pos="993"/>
              </w:tabs>
              <w:spacing w:after="0" w:line="240" w:lineRule="auto"/>
              <w:rPr>
                <w:rFonts w:ascii="Arial" w:hAnsi="Arial" w:cs="Arial"/>
                <w:sz w:val="20"/>
                <w:szCs w:val="20"/>
              </w:rPr>
            </w:pPr>
          </w:p>
        </w:tc>
      </w:tr>
      <w:tr w:rsidR="00B879C1" w:rsidRPr="00B879C1" w:rsidTr="00A90FCD">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r w:rsidRPr="00B879C1">
              <w:rPr>
                <w:rFonts w:ascii="Arial" w:hAnsi="Arial" w:cs="Arial"/>
                <w:color w:val="FF0000"/>
                <w:sz w:val="20"/>
                <w:szCs w:val="20"/>
              </w:rPr>
              <w:t>Int. (1456)</w:t>
            </w:r>
          </w:p>
        </w:tc>
        <w:tc>
          <w:tcPr>
            <w:tcW w:w="0" w:type="auto"/>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0.73</w:t>
            </w: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0.59;0.89</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1.27</w:t>
            </w: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0.90;1.80</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2"/>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1.20</w:t>
            </w: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0.70;2.05</w:t>
            </w:r>
          </w:p>
        </w:tc>
        <w:tc>
          <w:tcPr>
            <w:tcW w:w="0" w:type="auto"/>
          </w:tcPr>
          <w:p w:rsidR="005D5DF3" w:rsidRPr="00B879C1" w:rsidRDefault="005D5DF3" w:rsidP="00896A55">
            <w:pPr>
              <w:tabs>
                <w:tab w:val="left" w:pos="993"/>
              </w:tabs>
              <w:spacing w:after="0" w:line="240" w:lineRule="auto"/>
              <w:jc w:val="center"/>
              <w:rPr>
                <w:rFonts w:ascii="Arial" w:hAnsi="Arial" w:cs="Arial"/>
                <w:sz w:val="20"/>
                <w:szCs w:val="20"/>
              </w:rPr>
            </w:pPr>
          </w:p>
        </w:tc>
      </w:tr>
      <w:tr w:rsidR="00B879C1" w:rsidRPr="00B879C1" w:rsidTr="00A90FCD">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r w:rsidRPr="00B879C1">
              <w:rPr>
                <w:rFonts w:ascii="Arial" w:hAnsi="Arial" w:cs="Arial"/>
                <w:color w:val="FF0000"/>
                <w:sz w:val="20"/>
                <w:szCs w:val="20"/>
              </w:rPr>
              <w:t>High (832)</w:t>
            </w:r>
          </w:p>
        </w:tc>
        <w:tc>
          <w:tcPr>
            <w:tcW w:w="0" w:type="auto"/>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0.50</w:t>
            </w: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0.38;0.65</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1.46</w:t>
            </w: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1.00;2.14</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2"/>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2.20</w:t>
            </w: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1.27;3.80</w:t>
            </w:r>
          </w:p>
        </w:tc>
        <w:tc>
          <w:tcPr>
            <w:tcW w:w="0" w:type="auto"/>
          </w:tcPr>
          <w:p w:rsidR="005D5DF3" w:rsidRPr="00B879C1" w:rsidRDefault="005D5DF3" w:rsidP="00896A55">
            <w:pPr>
              <w:tabs>
                <w:tab w:val="left" w:pos="993"/>
              </w:tabs>
              <w:spacing w:after="0" w:line="240" w:lineRule="auto"/>
              <w:rPr>
                <w:rFonts w:ascii="Arial" w:hAnsi="Arial" w:cs="Arial"/>
                <w:sz w:val="20"/>
                <w:szCs w:val="20"/>
              </w:rPr>
            </w:pPr>
          </w:p>
        </w:tc>
      </w:tr>
      <w:tr w:rsidR="00A90FCD" w:rsidRPr="00B879C1" w:rsidTr="00A90FCD">
        <w:tc>
          <w:tcPr>
            <w:tcW w:w="0" w:type="auto"/>
            <w:gridSpan w:val="10"/>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4"/>
          </w:tcPr>
          <w:p w:rsidR="005D5DF3" w:rsidRPr="00B879C1" w:rsidRDefault="005D5DF3" w:rsidP="00896A55">
            <w:pPr>
              <w:tabs>
                <w:tab w:val="left" w:pos="993"/>
              </w:tabs>
              <w:spacing w:after="0" w:line="240" w:lineRule="auto"/>
              <w:rPr>
                <w:rFonts w:ascii="Arial" w:hAnsi="Arial" w:cs="Arial"/>
                <w:color w:val="FF0000"/>
                <w:sz w:val="20"/>
                <w:szCs w:val="20"/>
              </w:rPr>
            </w:pPr>
          </w:p>
        </w:tc>
      </w:tr>
      <w:tr w:rsidR="00896A55" w:rsidRPr="00B879C1" w:rsidTr="00A90FCD">
        <w:tc>
          <w:tcPr>
            <w:tcW w:w="0" w:type="auto"/>
            <w:gridSpan w:val="10"/>
          </w:tcPr>
          <w:p w:rsidR="005D5DF3" w:rsidRPr="00B879C1" w:rsidRDefault="00B879C1" w:rsidP="00896A55">
            <w:pPr>
              <w:tabs>
                <w:tab w:val="left" w:pos="993"/>
              </w:tabs>
              <w:spacing w:after="0" w:line="240" w:lineRule="auto"/>
              <w:rPr>
                <w:rFonts w:ascii="Arial" w:hAnsi="Arial" w:cs="Arial"/>
                <w:color w:val="FF0000"/>
                <w:sz w:val="20"/>
                <w:szCs w:val="20"/>
              </w:rPr>
            </w:pPr>
            <w:r w:rsidRPr="00B879C1">
              <w:rPr>
                <w:rFonts w:ascii="Arial" w:hAnsi="Arial" w:cs="Arial"/>
                <w:color w:val="FF0000"/>
                <w:sz w:val="20"/>
                <w:szCs w:val="20"/>
              </w:rPr>
              <w:t>No. of times interleukin-6 was high over the 5-y exposure period**</w:t>
            </w:r>
          </w:p>
        </w:tc>
        <w:tc>
          <w:tcPr>
            <w:tcW w:w="0" w:type="auto"/>
            <w:gridSpan w:val="4"/>
          </w:tcPr>
          <w:p w:rsidR="005D5DF3" w:rsidRPr="00B879C1" w:rsidRDefault="005D5DF3" w:rsidP="00896A55">
            <w:pPr>
              <w:tabs>
                <w:tab w:val="left" w:pos="993"/>
              </w:tabs>
              <w:spacing w:after="0" w:line="240" w:lineRule="auto"/>
              <w:rPr>
                <w:rFonts w:ascii="Arial" w:hAnsi="Arial" w:cs="Arial"/>
                <w:color w:val="FF0000"/>
                <w:sz w:val="20"/>
                <w:szCs w:val="20"/>
              </w:rPr>
            </w:pPr>
          </w:p>
        </w:tc>
      </w:tr>
      <w:tr w:rsidR="00B879C1" w:rsidRPr="00B879C1" w:rsidTr="00A90FCD">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r w:rsidRPr="00B879C1">
              <w:rPr>
                <w:rFonts w:ascii="Arial" w:hAnsi="Arial" w:cs="Arial"/>
                <w:color w:val="FF0000"/>
                <w:sz w:val="20"/>
                <w:szCs w:val="20"/>
              </w:rPr>
              <w:t>0 (1867)</w:t>
            </w:r>
          </w:p>
        </w:tc>
        <w:tc>
          <w:tcPr>
            <w:tcW w:w="0" w:type="auto"/>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1</w:t>
            </w: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ref</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1</w:t>
            </w: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ref</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2"/>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1</w:t>
            </w: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ref</w:t>
            </w:r>
          </w:p>
        </w:tc>
        <w:tc>
          <w:tcPr>
            <w:tcW w:w="0" w:type="auto"/>
          </w:tcPr>
          <w:p w:rsidR="005D5DF3" w:rsidRPr="00B879C1" w:rsidRDefault="005D5DF3" w:rsidP="00896A55">
            <w:pPr>
              <w:tabs>
                <w:tab w:val="left" w:pos="993"/>
              </w:tabs>
              <w:spacing w:after="0" w:line="240" w:lineRule="auto"/>
              <w:rPr>
                <w:rFonts w:ascii="Arial" w:hAnsi="Arial" w:cs="Arial"/>
                <w:sz w:val="20"/>
                <w:szCs w:val="20"/>
              </w:rPr>
            </w:pPr>
          </w:p>
        </w:tc>
      </w:tr>
      <w:tr w:rsidR="00B879C1" w:rsidRPr="00B879C1" w:rsidTr="00A90FCD">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r w:rsidRPr="00B879C1">
              <w:rPr>
                <w:rFonts w:ascii="Arial" w:hAnsi="Arial" w:cs="Arial"/>
                <w:color w:val="FF0000"/>
                <w:sz w:val="20"/>
                <w:szCs w:val="20"/>
              </w:rPr>
              <w:t>1 (791)</w:t>
            </w:r>
          </w:p>
        </w:tc>
        <w:tc>
          <w:tcPr>
            <w:tcW w:w="0" w:type="auto"/>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right"/>
              <w:rPr>
                <w:rFonts w:ascii="Arial" w:hAnsi="Arial" w:cs="Arial"/>
                <w:color w:val="FF0000"/>
                <w:sz w:val="20"/>
                <w:szCs w:val="20"/>
              </w:rPr>
            </w:pPr>
            <w:r w:rsidRPr="00B879C1">
              <w:rPr>
                <w:rFonts w:ascii="Arial" w:hAnsi="Arial" w:cs="Arial"/>
                <w:color w:val="FF0000"/>
                <w:sz w:val="20"/>
                <w:szCs w:val="20"/>
              </w:rPr>
              <w:t>0.69</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r w:rsidRPr="00B879C1">
              <w:rPr>
                <w:rFonts w:ascii="Arial" w:hAnsi="Arial" w:cs="Arial"/>
                <w:color w:val="FF0000"/>
                <w:sz w:val="20"/>
                <w:szCs w:val="20"/>
              </w:rPr>
              <w:t>0.55;0.86</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right"/>
              <w:rPr>
                <w:rFonts w:ascii="Arial" w:hAnsi="Arial" w:cs="Arial"/>
                <w:color w:val="FF0000"/>
                <w:sz w:val="20"/>
                <w:szCs w:val="20"/>
              </w:rPr>
            </w:pPr>
            <w:r w:rsidRPr="00B879C1">
              <w:rPr>
                <w:rFonts w:ascii="Arial" w:hAnsi="Arial" w:cs="Arial"/>
                <w:color w:val="FF0000"/>
                <w:sz w:val="20"/>
                <w:szCs w:val="20"/>
              </w:rPr>
              <w:t>1.27</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r w:rsidRPr="00B879C1">
              <w:rPr>
                <w:rFonts w:ascii="Arial" w:hAnsi="Arial" w:cs="Arial"/>
                <w:color w:val="FF0000"/>
                <w:sz w:val="20"/>
                <w:szCs w:val="20"/>
              </w:rPr>
              <w:t>0.96;1.68</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2"/>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1.23</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r w:rsidRPr="00B879C1">
              <w:rPr>
                <w:rFonts w:ascii="Arial" w:hAnsi="Arial" w:cs="Arial"/>
                <w:color w:val="FF0000"/>
                <w:sz w:val="20"/>
                <w:szCs w:val="20"/>
              </w:rPr>
              <w:t>0.82;1.86</w:t>
            </w:r>
          </w:p>
        </w:tc>
        <w:tc>
          <w:tcPr>
            <w:tcW w:w="0" w:type="auto"/>
          </w:tcPr>
          <w:p w:rsidR="005D5DF3" w:rsidRPr="00B879C1" w:rsidRDefault="005D5DF3" w:rsidP="00896A55">
            <w:pPr>
              <w:tabs>
                <w:tab w:val="left" w:pos="993"/>
              </w:tabs>
              <w:spacing w:after="0" w:line="240" w:lineRule="auto"/>
              <w:jc w:val="center"/>
              <w:rPr>
                <w:rFonts w:ascii="Arial" w:hAnsi="Arial" w:cs="Arial"/>
                <w:sz w:val="20"/>
                <w:szCs w:val="20"/>
              </w:rPr>
            </w:pPr>
          </w:p>
        </w:tc>
      </w:tr>
      <w:tr w:rsidR="00B879C1" w:rsidRPr="00B879C1" w:rsidTr="00A90FCD">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r w:rsidRPr="00B879C1">
              <w:rPr>
                <w:rFonts w:ascii="Arial" w:hAnsi="Arial" w:cs="Arial"/>
                <w:color w:val="FF0000"/>
                <w:sz w:val="20"/>
                <w:szCs w:val="20"/>
              </w:rPr>
              <w:t>2 (386)</w:t>
            </w:r>
          </w:p>
        </w:tc>
        <w:tc>
          <w:tcPr>
            <w:tcW w:w="0" w:type="auto"/>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right"/>
              <w:rPr>
                <w:rFonts w:ascii="Arial" w:hAnsi="Arial" w:cs="Arial"/>
                <w:color w:val="FF0000"/>
                <w:sz w:val="20"/>
                <w:szCs w:val="20"/>
              </w:rPr>
            </w:pPr>
            <w:r w:rsidRPr="00B879C1">
              <w:rPr>
                <w:rFonts w:ascii="Arial" w:hAnsi="Arial" w:cs="Arial"/>
                <w:color w:val="FF0000"/>
                <w:sz w:val="20"/>
                <w:szCs w:val="20"/>
              </w:rPr>
              <w:t>0.60</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r w:rsidRPr="00B879C1">
              <w:rPr>
                <w:rFonts w:ascii="Arial" w:hAnsi="Arial" w:cs="Arial"/>
                <w:color w:val="FF0000"/>
                <w:sz w:val="20"/>
                <w:szCs w:val="20"/>
              </w:rPr>
              <w:t>0.43;0.83</w:t>
            </w: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right"/>
              <w:rPr>
                <w:rFonts w:ascii="Arial" w:hAnsi="Arial" w:cs="Arial"/>
                <w:color w:val="FF0000"/>
                <w:sz w:val="20"/>
                <w:szCs w:val="20"/>
              </w:rPr>
            </w:pPr>
            <w:r w:rsidRPr="00B879C1">
              <w:rPr>
                <w:rFonts w:ascii="Arial" w:hAnsi="Arial" w:cs="Arial"/>
                <w:color w:val="FF0000"/>
                <w:sz w:val="20"/>
                <w:szCs w:val="20"/>
              </w:rPr>
              <w:t>1.48</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r w:rsidRPr="00B879C1">
              <w:rPr>
                <w:rFonts w:ascii="Arial" w:hAnsi="Arial" w:cs="Arial"/>
                <w:color w:val="FF0000"/>
                <w:sz w:val="20"/>
                <w:szCs w:val="20"/>
              </w:rPr>
              <w:t>1.04;2.11</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p>
        </w:tc>
        <w:tc>
          <w:tcPr>
            <w:tcW w:w="0" w:type="auto"/>
            <w:gridSpan w:val="2"/>
          </w:tcPr>
          <w:p w:rsidR="005D5DF3" w:rsidRPr="00B879C1"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B879C1" w:rsidRDefault="005D5DF3" w:rsidP="00896A55">
            <w:pPr>
              <w:tabs>
                <w:tab w:val="left" w:pos="993"/>
              </w:tabs>
              <w:spacing w:after="0" w:line="240" w:lineRule="auto"/>
              <w:jc w:val="center"/>
              <w:rPr>
                <w:rFonts w:ascii="Arial" w:hAnsi="Arial" w:cs="Arial"/>
                <w:color w:val="FF0000"/>
                <w:sz w:val="20"/>
                <w:szCs w:val="20"/>
              </w:rPr>
            </w:pPr>
            <w:r w:rsidRPr="00B879C1">
              <w:rPr>
                <w:rFonts w:ascii="Arial" w:hAnsi="Arial" w:cs="Arial"/>
                <w:color w:val="FF0000"/>
                <w:sz w:val="20"/>
                <w:szCs w:val="20"/>
              </w:rPr>
              <w:t>2.13</w:t>
            </w:r>
          </w:p>
        </w:tc>
        <w:tc>
          <w:tcPr>
            <w:tcW w:w="0" w:type="auto"/>
          </w:tcPr>
          <w:p w:rsidR="005D5DF3" w:rsidRPr="00B879C1" w:rsidRDefault="005D5DF3" w:rsidP="00896A55">
            <w:pPr>
              <w:tabs>
                <w:tab w:val="left" w:pos="993"/>
              </w:tabs>
              <w:spacing w:after="0" w:line="240" w:lineRule="auto"/>
              <w:rPr>
                <w:rFonts w:ascii="Arial" w:hAnsi="Arial" w:cs="Arial"/>
                <w:color w:val="FF0000"/>
                <w:sz w:val="20"/>
                <w:szCs w:val="20"/>
              </w:rPr>
            </w:pPr>
            <w:r w:rsidRPr="00B879C1">
              <w:rPr>
                <w:rFonts w:ascii="Arial" w:hAnsi="Arial" w:cs="Arial"/>
                <w:color w:val="FF0000"/>
                <w:sz w:val="20"/>
                <w:szCs w:val="20"/>
              </w:rPr>
              <w:t>1.36;3.35</w:t>
            </w:r>
          </w:p>
        </w:tc>
        <w:tc>
          <w:tcPr>
            <w:tcW w:w="0" w:type="auto"/>
          </w:tcPr>
          <w:p w:rsidR="005D5DF3" w:rsidRPr="00B879C1" w:rsidRDefault="005D5DF3" w:rsidP="00896A55">
            <w:pPr>
              <w:tabs>
                <w:tab w:val="left" w:pos="993"/>
              </w:tabs>
              <w:spacing w:after="0" w:line="240" w:lineRule="auto"/>
              <w:rPr>
                <w:rFonts w:ascii="Arial" w:hAnsi="Arial" w:cs="Arial"/>
                <w:sz w:val="20"/>
                <w:szCs w:val="20"/>
              </w:rPr>
            </w:pPr>
          </w:p>
        </w:tc>
      </w:tr>
    </w:tbl>
    <w:p w:rsidR="005D5DF3" w:rsidRPr="00A90FCD" w:rsidRDefault="005D5DF3" w:rsidP="00896A55">
      <w:pPr>
        <w:tabs>
          <w:tab w:val="left" w:pos="993"/>
        </w:tabs>
        <w:spacing w:after="0" w:line="240" w:lineRule="auto"/>
        <w:rPr>
          <w:rFonts w:ascii="Arial" w:hAnsi="Arial" w:cs="Arial"/>
          <w:sz w:val="20"/>
          <w:szCs w:val="20"/>
        </w:rPr>
      </w:pPr>
    </w:p>
    <w:p w:rsidR="005D5DF3" w:rsidRPr="00A90FCD" w:rsidRDefault="005D5DF3" w:rsidP="00896A55">
      <w:pPr>
        <w:tabs>
          <w:tab w:val="left" w:pos="993"/>
        </w:tabs>
        <w:spacing w:after="0" w:line="240" w:lineRule="auto"/>
        <w:rPr>
          <w:rFonts w:ascii="Arial" w:hAnsi="Arial" w:cs="Arial"/>
          <w:sz w:val="20"/>
          <w:szCs w:val="20"/>
        </w:rPr>
      </w:pPr>
    </w:p>
    <w:p w:rsidR="00A90FCD" w:rsidRPr="00A90FCD" w:rsidRDefault="00A90FCD" w:rsidP="00896A55">
      <w:pPr>
        <w:spacing w:after="0" w:line="240" w:lineRule="auto"/>
        <w:rPr>
          <w:rFonts w:ascii="Arial" w:hAnsi="Arial" w:cs="Arial"/>
          <w:sz w:val="20"/>
          <w:szCs w:val="20"/>
          <w:lang w:val="en-US"/>
        </w:rPr>
      </w:pPr>
    </w:p>
    <w:p w:rsidR="00A90FCD" w:rsidRPr="00A90FCD" w:rsidRDefault="00A90FCD" w:rsidP="00896A55">
      <w:pPr>
        <w:spacing w:after="0" w:line="240" w:lineRule="auto"/>
        <w:rPr>
          <w:rFonts w:ascii="Arial" w:hAnsi="Arial" w:cs="Arial"/>
          <w:sz w:val="20"/>
          <w:szCs w:val="20"/>
          <w:lang w:val="en-US"/>
        </w:rPr>
      </w:pPr>
    </w:p>
    <w:p w:rsidR="00A90FCD" w:rsidRPr="00A90FCD" w:rsidRDefault="00A90FCD" w:rsidP="00896A55">
      <w:pPr>
        <w:spacing w:after="0" w:line="240" w:lineRule="auto"/>
        <w:rPr>
          <w:rFonts w:ascii="Arial" w:hAnsi="Arial" w:cs="Arial"/>
          <w:sz w:val="20"/>
          <w:szCs w:val="20"/>
          <w:lang w:val="en-US"/>
        </w:rPr>
      </w:pPr>
    </w:p>
    <w:p w:rsidR="00A90FCD" w:rsidRPr="00A90FCD" w:rsidRDefault="00A90FCD" w:rsidP="00896A55">
      <w:pPr>
        <w:spacing w:after="0" w:line="240" w:lineRule="auto"/>
        <w:rPr>
          <w:rFonts w:ascii="Arial" w:hAnsi="Arial" w:cs="Arial"/>
          <w:sz w:val="20"/>
          <w:szCs w:val="20"/>
          <w:lang w:val="en-US"/>
        </w:rPr>
      </w:pPr>
    </w:p>
    <w:p w:rsidR="00A90FCD" w:rsidRPr="00A90FCD" w:rsidRDefault="00A90FCD" w:rsidP="00896A55">
      <w:pPr>
        <w:spacing w:after="0" w:line="240" w:lineRule="auto"/>
        <w:rPr>
          <w:rFonts w:ascii="Arial" w:hAnsi="Arial" w:cs="Arial"/>
          <w:sz w:val="20"/>
          <w:szCs w:val="20"/>
          <w:lang w:val="en-US"/>
        </w:rPr>
      </w:pPr>
    </w:p>
    <w:p w:rsidR="00A90FCD" w:rsidRPr="00A90FCD" w:rsidRDefault="00A90FCD" w:rsidP="00896A55">
      <w:pPr>
        <w:spacing w:after="0" w:line="240" w:lineRule="auto"/>
        <w:rPr>
          <w:rFonts w:ascii="Arial" w:hAnsi="Arial" w:cs="Arial"/>
          <w:sz w:val="20"/>
          <w:szCs w:val="20"/>
          <w:lang w:val="en-US"/>
        </w:rPr>
      </w:pPr>
    </w:p>
    <w:p w:rsidR="00A90FCD" w:rsidRPr="00A90FCD" w:rsidRDefault="00A90FCD" w:rsidP="00896A55">
      <w:pPr>
        <w:spacing w:after="0" w:line="240" w:lineRule="auto"/>
        <w:rPr>
          <w:rFonts w:ascii="Arial" w:hAnsi="Arial" w:cs="Arial"/>
          <w:sz w:val="20"/>
          <w:szCs w:val="20"/>
          <w:lang w:val="en-US"/>
        </w:rPr>
      </w:pPr>
    </w:p>
    <w:p w:rsidR="00A90FCD" w:rsidRPr="00A90FCD" w:rsidRDefault="00A90FCD" w:rsidP="00896A55">
      <w:pPr>
        <w:spacing w:after="0" w:line="240" w:lineRule="auto"/>
        <w:rPr>
          <w:rFonts w:ascii="Arial" w:hAnsi="Arial" w:cs="Arial"/>
          <w:sz w:val="20"/>
          <w:szCs w:val="20"/>
          <w:lang w:val="en-US"/>
        </w:rPr>
      </w:pPr>
    </w:p>
    <w:p w:rsidR="00A90FCD" w:rsidRPr="00A90FCD" w:rsidRDefault="00A90FCD" w:rsidP="00896A55">
      <w:pPr>
        <w:spacing w:after="0" w:line="240" w:lineRule="auto"/>
        <w:rPr>
          <w:rFonts w:ascii="Arial" w:hAnsi="Arial" w:cs="Arial"/>
          <w:sz w:val="20"/>
          <w:szCs w:val="20"/>
          <w:lang w:val="en-US"/>
        </w:rPr>
      </w:pPr>
    </w:p>
    <w:p w:rsidR="00A90FCD" w:rsidRPr="00A90FCD" w:rsidRDefault="00A90FCD" w:rsidP="00896A55">
      <w:pPr>
        <w:spacing w:after="0" w:line="240" w:lineRule="auto"/>
        <w:rPr>
          <w:rFonts w:ascii="Arial" w:hAnsi="Arial" w:cs="Arial"/>
          <w:sz w:val="20"/>
          <w:szCs w:val="20"/>
          <w:lang w:val="en-US"/>
        </w:rPr>
      </w:pPr>
    </w:p>
    <w:p w:rsidR="00A90FCD" w:rsidRPr="00A90FCD" w:rsidRDefault="00A90FCD" w:rsidP="00896A55">
      <w:pPr>
        <w:spacing w:after="0" w:line="240" w:lineRule="auto"/>
        <w:rPr>
          <w:rFonts w:ascii="Arial" w:hAnsi="Arial" w:cs="Arial"/>
          <w:sz w:val="20"/>
          <w:szCs w:val="20"/>
          <w:lang w:val="en-US"/>
        </w:rPr>
      </w:pPr>
    </w:p>
    <w:p w:rsidR="00A90FCD" w:rsidRPr="00A90FCD" w:rsidRDefault="00A90FCD" w:rsidP="00896A55">
      <w:pPr>
        <w:spacing w:after="0" w:line="240" w:lineRule="auto"/>
        <w:rPr>
          <w:rFonts w:ascii="Arial" w:hAnsi="Arial" w:cs="Arial"/>
          <w:sz w:val="20"/>
          <w:szCs w:val="20"/>
          <w:lang w:val="en-US"/>
        </w:rPr>
      </w:pPr>
    </w:p>
    <w:p w:rsidR="00A90FCD" w:rsidRPr="00A90FCD" w:rsidRDefault="00A90FCD" w:rsidP="00896A55">
      <w:pPr>
        <w:spacing w:after="0" w:line="240" w:lineRule="auto"/>
        <w:rPr>
          <w:rFonts w:ascii="Arial" w:hAnsi="Arial" w:cs="Arial"/>
          <w:sz w:val="20"/>
          <w:szCs w:val="20"/>
          <w:lang w:val="en-US"/>
        </w:rPr>
      </w:pPr>
    </w:p>
    <w:p w:rsidR="00A90FCD" w:rsidRPr="00A90FCD" w:rsidRDefault="00A90FCD" w:rsidP="00896A55">
      <w:pPr>
        <w:spacing w:after="0" w:line="240" w:lineRule="auto"/>
        <w:rPr>
          <w:rFonts w:ascii="Arial" w:hAnsi="Arial" w:cs="Arial"/>
          <w:sz w:val="20"/>
          <w:szCs w:val="20"/>
          <w:lang w:val="en-US"/>
        </w:rPr>
      </w:pPr>
    </w:p>
    <w:p w:rsidR="00A90FCD" w:rsidRDefault="00A90FCD" w:rsidP="00896A55">
      <w:pPr>
        <w:spacing w:after="0" w:line="240" w:lineRule="auto"/>
        <w:rPr>
          <w:rFonts w:ascii="Arial" w:hAnsi="Arial" w:cs="Arial"/>
          <w:sz w:val="20"/>
          <w:szCs w:val="20"/>
          <w:lang w:val="en-US"/>
        </w:rPr>
      </w:pPr>
    </w:p>
    <w:p w:rsidR="00CE4D76" w:rsidRDefault="00CE4D76" w:rsidP="00896A55">
      <w:pPr>
        <w:spacing w:after="0" w:line="240" w:lineRule="auto"/>
        <w:rPr>
          <w:rFonts w:ascii="Arial" w:hAnsi="Arial" w:cs="Arial"/>
          <w:sz w:val="20"/>
          <w:szCs w:val="20"/>
          <w:lang w:val="en-US"/>
        </w:rPr>
      </w:pPr>
      <w:r w:rsidRPr="00A90FCD">
        <w:rPr>
          <w:rFonts w:ascii="Arial" w:hAnsi="Arial" w:cs="Arial"/>
          <w:sz w:val="20"/>
          <w:szCs w:val="20"/>
        </w:rPr>
        <w:t xml:space="preserve">To examine potential competing risk bias, the </w:t>
      </w:r>
      <w:r w:rsidRPr="00A90FCD">
        <w:rPr>
          <w:rFonts w:ascii="Arial" w:hAnsi="Arial" w:cs="Arial"/>
          <w:sz w:val="20"/>
          <w:szCs w:val="20"/>
          <w:lang w:val="en-US"/>
        </w:rPr>
        <w:t xml:space="preserve">association between inflammation and aging phenotypes was assessed using </w:t>
      </w:r>
      <w:r w:rsidRPr="00A90FCD">
        <w:rPr>
          <w:rFonts w:ascii="Arial" w:hAnsi="Arial" w:cs="Arial"/>
          <w:sz w:val="20"/>
          <w:szCs w:val="20"/>
        </w:rPr>
        <w:t>multinomial regression. We estimated odds of successful aging and the two unhealthy aging outcomes within a single analysis with normal ageing as the common reference point for all three outcomes</w:t>
      </w:r>
      <w:r w:rsidRPr="00A90FCD">
        <w:rPr>
          <w:rFonts w:ascii="Arial" w:hAnsi="Arial" w:cs="Arial"/>
          <w:b/>
          <w:sz w:val="20"/>
          <w:szCs w:val="20"/>
          <w:lang w:eastAsia="en-GB"/>
        </w:rPr>
        <w:t xml:space="preserve"> </w:t>
      </w:r>
      <w:r w:rsidRPr="00A90FCD">
        <w:rPr>
          <w:rFonts w:ascii="Arial" w:hAnsi="Arial" w:cs="Arial"/>
          <w:sz w:val="20"/>
          <w:szCs w:val="20"/>
          <w:lang w:eastAsia="en-GB"/>
        </w:rPr>
        <w:t>thus avoiding the substantial overlap in the different health components of aging</w:t>
      </w:r>
    </w:p>
    <w:p w:rsidR="00CE4D76" w:rsidRPr="00A90FCD" w:rsidRDefault="00CE4D76" w:rsidP="00896A55">
      <w:pPr>
        <w:spacing w:after="0" w:line="240" w:lineRule="auto"/>
        <w:rPr>
          <w:rFonts w:ascii="Arial" w:hAnsi="Arial" w:cs="Arial"/>
          <w:sz w:val="20"/>
          <w:szCs w:val="20"/>
          <w:lang w:val="en-US"/>
        </w:rPr>
      </w:pPr>
    </w:p>
    <w:p w:rsidR="00B879C1" w:rsidRDefault="005D5DF3" w:rsidP="00B879C1">
      <w:pPr>
        <w:spacing w:after="0" w:line="240" w:lineRule="auto"/>
        <w:rPr>
          <w:rFonts w:ascii="Arial" w:hAnsi="Arial" w:cs="Arial"/>
          <w:bCs/>
          <w:sz w:val="20"/>
          <w:szCs w:val="20"/>
        </w:rPr>
      </w:pPr>
      <w:r w:rsidRPr="00A90FCD">
        <w:rPr>
          <w:rFonts w:ascii="Arial" w:hAnsi="Arial" w:cs="Arial"/>
          <w:sz w:val="20"/>
          <w:szCs w:val="20"/>
          <w:lang w:val="en-US"/>
        </w:rPr>
        <w:t>*Multinomial logistic regression to analyze associations between inflammation and the 4-category aging outcome: (1) successful aging, (2) cardiovascular events at follow-up, (3) non-cardiovascular death and (4</w:t>
      </w:r>
      <w:proofErr w:type="gramStart"/>
      <w:r w:rsidRPr="00A90FCD">
        <w:rPr>
          <w:rFonts w:ascii="Arial" w:hAnsi="Arial" w:cs="Arial"/>
          <w:sz w:val="20"/>
          <w:szCs w:val="20"/>
          <w:lang w:val="en-US"/>
        </w:rPr>
        <w:t>)  normal</w:t>
      </w:r>
      <w:proofErr w:type="gramEnd"/>
      <w:r w:rsidRPr="00A90FCD">
        <w:rPr>
          <w:rFonts w:ascii="Arial" w:hAnsi="Arial" w:cs="Arial"/>
          <w:sz w:val="20"/>
          <w:szCs w:val="20"/>
          <w:lang w:val="en-US"/>
        </w:rPr>
        <w:t xml:space="preserve"> aging (the non-case category for each of the other categories). </w:t>
      </w:r>
      <w:r w:rsidRPr="00A90FCD">
        <w:rPr>
          <w:rFonts w:ascii="Arial" w:hAnsi="Arial" w:cs="Arial"/>
          <w:sz w:val="20"/>
          <w:szCs w:val="20"/>
        </w:rPr>
        <w:t>Normal Aging was the “non-case” category for all aging phenotype outcomes presented</w:t>
      </w:r>
      <w:r w:rsidR="00B879C1">
        <w:rPr>
          <w:rFonts w:ascii="Arial" w:hAnsi="Arial" w:cs="Arial"/>
          <w:sz w:val="20"/>
          <w:szCs w:val="20"/>
        </w:rPr>
        <w:t xml:space="preserve">. </w:t>
      </w:r>
      <w:r w:rsidRPr="00A90FCD">
        <w:rPr>
          <w:rFonts w:ascii="Arial" w:hAnsi="Arial" w:cs="Arial"/>
          <w:sz w:val="20"/>
          <w:szCs w:val="20"/>
        </w:rPr>
        <w:t xml:space="preserve">Models were adjusted for sex, age, </w:t>
      </w:r>
      <w:r w:rsidRPr="00A90FCD">
        <w:rPr>
          <w:rFonts w:ascii="Arial" w:hAnsi="Arial" w:cs="Arial"/>
          <w:sz w:val="20"/>
          <w:szCs w:val="20"/>
          <w:lang w:val="en-US"/>
        </w:rPr>
        <w:t>socio-economic status, smoking habits, physical activity, acute inflammation and use of anti-inflammatory drugs</w:t>
      </w:r>
    </w:p>
    <w:p w:rsidR="00B879C1" w:rsidRDefault="00B879C1" w:rsidP="00B879C1">
      <w:pPr>
        <w:spacing w:after="0" w:line="240" w:lineRule="auto"/>
        <w:rPr>
          <w:rFonts w:ascii="Arial" w:hAnsi="Arial" w:cs="Arial"/>
          <w:bCs/>
          <w:sz w:val="20"/>
          <w:szCs w:val="20"/>
        </w:rPr>
      </w:pPr>
    </w:p>
    <w:p w:rsidR="00B879C1" w:rsidRPr="00B879C1" w:rsidRDefault="00B879C1" w:rsidP="00B879C1">
      <w:pPr>
        <w:spacing w:after="0" w:line="240" w:lineRule="auto"/>
        <w:rPr>
          <w:rFonts w:ascii="Arial" w:hAnsi="Arial" w:cs="Arial"/>
          <w:bCs/>
          <w:sz w:val="20"/>
          <w:szCs w:val="20"/>
        </w:rPr>
      </w:pPr>
      <w:r w:rsidRPr="00B879C1">
        <w:rPr>
          <w:rFonts w:ascii="Arial" w:hAnsi="Arial" w:cs="Arial"/>
          <w:color w:val="FF0000"/>
          <w:sz w:val="20"/>
          <w:szCs w:val="20"/>
        </w:rPr>
        <w:t xml:space="preserve">**Interleukin-6 was measured twice (5 years before baseline and at baseline). A value of “2” indicates both measurements were high, a value of “1” that either measurement was high and a value of “0” indicates that none of these measurements was high. </w:t>
      </w:r>
    </w:p>
    <w:p w:rsidR="00B879C1" w:rsidRPr="00B879C1" w:rsidRDefault="00B879C1" w:rsidP="00B879C1">
      <w:pPr>
        <w:spacing w:after="0" w:line="240" w:lineRule="auto"/>
        <w:ind w:left="-851" w:right="-932"/>
        <w:rPr>
          <w:rFonts w:ascii="Arial" w:hAnsi="Arial" w:cs="Arial"/>
          <w:sz w:val="20"/>
          <w:szCs w:val="20"/>
        </w:rPr>
      </w:pPr>
    </w:p>
    <w:p w:rsidR="005D5DF3" w:rsidRPr="00A90FCD" w:rsidRDefault="005D5DF3" w:rsidP="00896A55">
      <w:pPr>
        <w:tabs>
          <w:tab w:val="left" w:pos="993"/>
        </w:tabs>
        <w:spacing w:after="0" w:line="240" w:lineRule="auto"/>
        <w:rPr>
          <w:rFonts w:ascii="Arial" w:hAnsi="Arial" w:cs="Arial"/>
          <w:sz w:val="20"/>
          <w:szCs w:val="20"/>
        </w:rPr>
        <w:sectPr w:rsidR="005D5DF3" w:rsidRPr="00A90FCD" w:rsidSect="00896A55">
          <w:pgSz w:w="16838" w:h="11906" w:orient="landscape"/>
          <w:pgMar w:top="1417" w:right="1417" w:bottom="1417" w:left="1417" w:header="708" w:footer="708" w:gutter="0"/>
          <w:cols w:space="708"/>
          <w:docGrid w:linePitch="360"/>
        </w:sectPr>
      </w:pPr>
    </w:p>
    <w:p w:rsidR="005D5DF3" w:rsidRPr="00B9057E" w:rsidRDefault="005D5DF3" w:rsidP="00896A55">
      <w:pPr>
        <w:spacing w:after="0" w:line="240" w:lineRule="auto"/>
        <w:rPr>
          <w:rFonts w:ascii="Arial" w:hAnsi="Arial" w:cs="Arial"/>
          <w:b/>
          <w:color w:val="FF0000"/>
          <w:sz w:val="20"/>
          <w:szCs w:val="20"/>
          <w:lang w:val="en-US"/>
        </w:rPr>
      </w:pPr>
      <w:r w:rsidRPr="00B9057E">
        <w:rPr>
          <w:rFonts w:ascii="Arial" w:hAnsi="Arial" w:cs="Arial"/>
          <w:b/>
          <w:color w:val="FF0000"/>
          <w:sz w:val="20"/>
          <w:szCs w:val="20"/>
        </w:rPr>
        <w:lastRenderedPageBreak/>
        <w:t xml:space="preserve">Appendix 6: </w:t>
      </w:r>
      <w:r w:rsidRPr="00B9057E">
        <w:rPr>
          <w:rFonts w:ascii="Arial" w:hAnsi="Arial" w:cs="Arial"/>
          <w:b/>
          <w:bCs/>
          <w:color w:val="FF0000"/>
          <w:sz w:val="20"/>
          <w:szCs w:val="20"/>
        </w:rPr>
        <w:t>Full adjusted</w:t>
      </w:r>
      <w:r w:rsidR="00B879C1" w:rsidRPr="00B9057E">
        <w:rPr>
          <w:rFonts w:ascii="Arial" w:hAnsi="Arial" w:cs="Arial"/>
          <w:b/>
          <w:bCs/>
          <w:color w:val="FF0000"/>
          <w:sz w:val="20"/>
          <w:szCs w:val="20"/>
        </w:rPr>
        <w:t>*</w:t>
      </w:r>
      <w:r w:rsidRPr="00B9057E">
        <w:rPr>
          <w:rFonts w:ascii="Arial" w:hAnsi="Arial" w:cs="Arial"/>
          <w:b/>
          <w:bCs/>
          <w:color w:val="FF0000"/>
          <w:sz w:val="20"/>
          <w:szCs w:val="20"/>
        </w:rPr>
        <w:t xml:space="preserve"> association between interleukin-6</w:t>
      </w:r>
      <w:r w:rsidR="00901181">
        <w:rPr>
          <w:rFonts w:ascii="Arial" w:hAnsi="Arial" w:cs="Arial"/>
          <w:b/>
          <w:bCs/>
          <w:color w:val="FF0000"/>
          <w:sz w:val="20"/>
          <w:szCs w:val="20"/>
        </w:rPr>
        <w:t xml:space="preserve"> levels</w:t>
      </w:r>
      <w:r w:rsidRPr="00B9057E">
        <w:rPr>
          <w:rFonts w:ascii="Arial" w:hAnsi="Arial" w:cs="Arial"/>
          <w:b/>
          <w:bCs/>
          <w:color w:val="FF0000"/>
          <w:sz w:val="20"/>
          <w:szCs w:val="20"/>
        </w:rPr>
        <w:t xml:space="preserve"> </w:t>
      </w:r>
      <w:r w:rsidR="00B879C1" w:rsidRPr="00B9057E">
        <w:rPr>
          <w:rFonts w:ascii="Arial" w:hAnsi="Arial" w:cs="Arial"/>
          <w:b/>
          <w:color w:val="FF0000"/>
          <w:sz w:val="20"/>
          <w:szCs w:val="20"/>
        </w:rPr>
        <w:t>over the 5-y exposure period</w:t>
      </w:r>
      <w:r w:rsidR="00B879C1" w:rsidRPr="00B9057E">
        <w:rPr>
          <w:rFonts w:ascii="Arial" w:hAnsi="Arial" w:cs="Arial"/>
          <w:b/>
          <w:bCs/>
          <w:color w:val="FF0000"/>
          <w:sz w:val="20"/>
          <w:szCs w:val="20"/>
        </w:rPr>
        <w:t xml:space="preserve"> </w:t>
      </w:r>
      <w:r w:rsidR="00901181" w:rsidRPr="00B9057E">
        <w:rPr>
          <w:rFonts w:ascii="Arial" w:hAnsi="Arial" w:cs="Arial"/>
          <w:b/>
          <w:color w:val="FF0000"/>
          <w:sz w:val="20"/>
          <w:szCs w:val="20"/>
        </w:rPr>
        <w:t>(5-y before baseline and at baseline)</w:t>
      </w:r>
      <w:r w:rsidR="00901181">
        <w:rPr>
          <w:rFonts w:ascii="Arial" w:hAnsi="Arial" w:cs="Arial"/>
          <w:b/>
          <w:color w:val="FF0000"/>
          <w:sz w:val="20"/>
          <w:szCs w:val="20"/>
        </w:rPr>
        <w:t xml:space="preserve"> </w:t>
      </w:r>
      <w:r w:rsidRPr="00B9057E">
        <w:rPr>
          <w:rFonts w:ascii="Arial" w:hAnsi="Arial" w:cs="Arial"/>
          <w:b/>
          <w:bCs/>
          <w:color w:val="FF0000"/>
          <w:sz w:val="20"/>
          <w:szCs w:val="20"/>
        </w:rPr>
        <w:t xml:space="preserve">and subsequent aging phenotypes </w:t>
      </w:r>
      <w:r w:rsidR="00B9057E" w:rsidRPr="00B9057E">
        <w:rPr>
          <w:rFonts w:ascii="Arial" w:hAnsi="Arial" w:cs="Arial"/>
          <w:b/>
          <w:bCs/>
          <w:color w:val="FF0000"/>
          <w:sz w:val="20"/>
          <w:szCs w:val="20"/>
        </w:rPr>
        <w:t>at</w:t>
      </w:r>
      <w:r w:rsidRPr="00B9057E">
        <w:rPr>
          <w:rFonts w:ascii="Arial" w:hAnsi="Arial" w:cs="Arial"/>
          <w:b/>
          <w:bCs/>
          <w:color w:val="FF0000"/>
          <w:sz w:val="20"/>
          <w:szCs w:val="20"/>
        </w:rPr>
        <w:t xml:space="preserve"> 10-year follow-up</w:t>
      </w:r>
      <w:r w:rsidRPr="00B9057E">
        <w:rPr>
          <w:rFonts w:ascii="Arial" w:hAnsi="Arial" w:cs="Arial"/>
          <w:b/>
          <w:color w:val="FF0000"/>
          <w:sz w:val="20"/>
          <w:szCs w:val="20"/>
        </w:rPr>
        <w:t xml:space="preserve">- </w:t>
      </w:r>
      <w:r w:rsidRPr="00B9057E">
        <w:rPr>
          <w:rFonts w:ascii="Arial" w:hAnsi="Arial" w:cs="Arial"/>
          <w:b/>
          <w:color w:val="FF0000"/>
          <w:sz w:val="20"/>
          <w:szCs w:val="20"/>
          <w:lang w:val="en-US"/>
        </w:rPr>
        <w:t>Sensitivity analyses</w:t>
      </w:r>
      <w:r w:rsidRPr="00B9057E">
        <w:rPr>
          <w:rFonts w:ascii="Arial" w:hAnsi="Arial" w:cs="Arial"/>
          <w:b/>
          <w:color w:val="FF0000"/>
          <w:sz w:val="20"/>
          <w:szCs w:val="20"/>
        </w:rPr>
        <w:t>-</w:t>
      </w:r>
    </w:p>
    <w:tbl>
      <w:tblPr>
        <w:tblpPr w:leftFromText="181" w:rightFromText="181" w:vertAnchor="text" w:horzAnchor="margin" w:tblpXSpec="center" w:tblpY="404"/>
        <w:tblOverlap w:val="never"/>
        <w:tblW w:w="0" w:type="auto"/>
        <w:tblBorders>
          <w:top w:val="single" w:sz="4" w:space="0" w:color="auto"/>
          <w:bottom w:val="single" w:sz="4" w:space="0" w:color="auto"/>
        </w:tblBorders>
        <w:tblLook w:val="00A0"/>
      </w:tblPr>
      <w:tblGrid>
        <w:gridCol w:w="5796"/>
        <w:gridCol w:w="929"/>
        <w:gridCol w:w="606"/>
        <w:gridCol w:w="1051"/>
        <w:gridCol w:w="222"/>
        <w:gridCol w:w="929"/>
        <w:gridCol w:w="606"/>
        <w:gridCol w:w="1051"/>
        <w:gridCol w:w="222"/>
        <w:gridCol w:w="929"/>
        <w:gridCol w:w="606"/>
        <w:gridCol w:w="1051"/>
        <w:gridCol w:w="222"/>
      </w:tblGrid>
      <w:tr w:rsidR="00A90FCD" w:rsidRPr="00A90FCD" w:rsidTr="00A90FCD">
        <w:tc>
          <w:tcPr>
            <w:tcW w:w="0" w:type="auto"/>
            <w:vMerge w:val="restart"/>
          </w:tcPr>
          <w:p w:rsidR="00B879C1" w:rsidRPr="00B879C1" w:rsidRDefault="00B879C1" w:rsidP="00B879C1">
            <w:pPr>
              <w:spacing w:after="0" w:line="240" w:lineRule="auto"/>
              <w:rPr>
                <w:rFonts w:ascii="Arial" w:hAnsi="Arial" w:cs="Arial"/>
                <w:bCs/>
                <w:sz w:val="20"/>
                <w:szCs w:val="20"/>
              </w:rPr>
            </w:pPr>
            <w:r w:rsidRPr="00B879C1">
              <w:rPr>
                <w:rFonts w:ascii="Arial" w:hAnsi="Arial" w:cs="Arial"/>
                <w:color w:val="FF0000"/>
                <w:sz w:val="20"/>
                <w:szCs w:val="20"/>
              </w:rPr>
              <w:t>No. of times interleukin-6 was high over the 5-y exposure period**</w:t>
            </w:r>
          </w:p>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gridSpan w:val="4"/>
          </w:tcPr>
          <w:p w:rsidR="005D5DF3" w:rsidRPr="00A90FCD" w:rsidRDefault="005D5DF3" w:rsidP="00896A55">
            <w:pPr>
              <w:tabs>
                <w:tab w:val="left" w:pos="993"/>
              </w:tabs>
              <w:spacing w:after="0" w:line="240" w:lineRule="auto"/>
              <w:jc w:val="center"/>
              <w:rPr>
                <w:rFonts w:ascii="Arial" w:hAnsi="Arial" w:cs="Arial"/>
                <w:bCs/>
                <w:color w:val="FF0000"/>
                <w:sz w:val="20"/>
                <w:szCs w:val="20"/>
              </w:rPr>
            </w:pPr>
            <w:r w:rsidRPr="00A90FCD">
              <w:rPr>
                <w:rFonts w:ascii="Arial" w:hAnsi="Arial" w:cs="Arial"/>
                <w:bCs/>
                <w:color w:val="FF0000"/>
                <w:sz w:val="20"/>
                <w:szCs w:val="20"/>
              </w:rPr>
              <w:t>Successful aging*</w:t>
            </w:r>
          </w:p>
        </w:tc>
        <w:tc>
          <w:tcPr>
            <w:tcW w:w="0" w:type="auto"/>
            <w:gridSpan w:val="4"/>
          </w:tcPr>
          <w:p w:rsidR="005D5DF3" w:rsidRPr="00A90FCD" w:rsidRDefault="005D5DF3" w:rsidP="00896A55">
            <w:pPr>
              <w:tabs>
                <w:tab w:val="left" w:pos="993"/>
              </w:tabs>
              <w:spacing w:after="0" w:line="240" w:lineRule="auto"/>
              <w:jc w:val="center"/>
              <w:rPr>
                <w:rFonts w:ascii="Arial" w:hAnsi="Arial" w:cs="Arial"/>
                <w:bCs/>
                <w:color w:val="FF0000"/>
                <w:sz w:val="20"/>
                <w:szCs w:val="20"/>
              </w:rPr>
            </w:pPr>
            <w:r w:rsidRPr="00A90FCD">
              <w:rPr>
                <w:rFonts w:ascii="Arial" w:hAnsi="Arial" w:cs="Arial"/>
                <w:bCs/>
                <w:color w:val="FF0000"/>
                <w:sz w:val="20"/>
                <w:szCs w:val="20"/>
              </w:rPr>
              <w:t>Fatal or Non Fatal</w:t>
            </w:r>
          </w:p>
          <w:p w:rsidR="005D5DF3" w:rsidRPr="00A90FCD" w:rsidRDefault="005D5DF3" w:rsidP="00896A55">
            <w:pPr>
              <w:tabs>
                <w:tab w:val="left" w:pos="993"/>
              </w:tabs>
              <w:spacing w:after="0" w:line="240" w:lineRule="auto"/>
              <w:jc w:val="center"/>
              <w:rPr>
                <w:rFonts w:ascii="Arial" w:hAnsi="Arial" w:cs="Arial"/>
                <w:bCs/>
                <w:color w:val="FF0000"/>
                <w:sz w:val="20"/>
                <w:szCs w:val="20"/>
              </w:rPr>
            </w:pPr>
            <w:r w:rsidRPr="00A90FCD">
              <w:rPr>
                <w:rFonts w:ascii="Arial" w:hAnsi="Arial" w:cs="Arial"/>
                <w:bCs/>
                <w:color w:val="FF0000"/>
                <w:sz w:val="20"/>
                <w:szCs w:val="20"/>
              </w:rPr>
              <w:t>cardiovascular events*</w:t>
            </w:r>
          </w:p>
        </w:tc>
        <w:tc>
          <w:tcPr>
            <w:tcW w:w="0" w:type="auto"/>
            <w:gridSpan w:val="4"/>
          </w:tcPr>
          <w:p w:rsidR="005D5DF3" w:rsidRPr="00A90FCD" w:rsidRDefault="005D5DF3" w:rsidP="00896A55">
            <w:pPr>
              <w:tabs>
                <w:tab w:val="left" w:pos="993"/>
              </w:tabs>
              <w:spacing w:after="0" w:line="240" w:lineRule="auto"/>
              <w:jc w:val="center"/>
              <w:rPr>
                <w:rFonts w:ascii="Arial" w:hAnsi="Arial" w:cs="Arial"/>
                <w:bCs/>
                <w:color w:val="FF0000"/>
                <w:sz w:val="20"/>
                <w:szCs w:val="20"/>
              </w:rPr>
            </w:pPr>
            <w:r w:rsidRPr="00A90FCD">
              <w:rPr>
                <w:rFonts w:ascii="Arial" w:hAnsi="Arial" w:cs="Arial"/>
                <w:bCs/>
                <w:color w:val="FF0000"/>
                <w:sz w:val="20"/>
                <w:szCs w:val="20"/>
              </w:rPr>
              <w:t>Non-cardiovascular Death*</w:t>
            </w:r>
          </w:p>
        </w:tc>
      </w:tr>
      <w:tr w:rsidR="00A90FCD" w:rsidRPr="00A90FCD" w:rsidTr="00A90FCD">
        <w:tc>
          <w:tcPr>
            <w:tcW w:w="0" w:type="auto"/>
            <w:vMerge/>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gridSpan w:val="2"/>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gridSpan w:val="2"/>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gridSpan w:val="2"/>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r>
      <w:tr w:rsidR="00A90FCD" w:rsidRPr="00A90FCD" w:rsidTr="00A90FCD">
        <w:tc>
          <w:tcPr>
            <w:tcW w:w="0" w:type="auto"/>
            <w:vMerge/>
            <w:tcBorders>
              <w:bottom w:val="single" w:sz="4" w:space="0" w:color="auto"/>
            </w:tcBorders>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Borders>
              <w:bottom w:val="single" w:sz="4" w:space="0" w:color="auto"/>
            </w:tcBorders>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N cases</w:t>
            </w:r>
          </w:p>
        </w:tc>
        <w:tc>
          <w:tcPr>
            <w:tcW w:w="0" w:type="auto"/>
            <w:tcBorders>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OR</w:t>
            </w:r>
          </w:p>
        </w:tc>
        <w:tc>
          <w:tcPr>
            <w:tcW w:w="0" w:type="auto"/>
            <w:tcBorders>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95 %CI</w:t>
            </w:r>
          </w:p>
        </w:tc>
        <w:tc>
          <w:tcPr>
            <w:tcW w:w="0" w:type="auto"/>
            <w:tcBorders>
              <w:bottom w:val="single" w:sz="4" w:space="0" w:color="auto"/>
            </w:tcBorders>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Borders>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i/>
                <w:color w:val="FF0000"/>
                <w:sz w:val="20"/>
                <w:szCs w:val="20"/>
              </w:rPr>
              <w:t>N cases</w:t>
            </w:r>
          </w:p>
        </w:tc>
        <w:tc>
          <w:tcPr>
            <w:tcW w:w="0" w:type="auto"/>
            <w:tcBorders>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OR</w:t>
            </w:r>
          </w:p>
        </w:tc>
        <w:tc>
          <w:tcPr>
            <w:tcW w:w="0" w:type="auto"/>
            <w:tcBorders>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95 %CI</w:t>
            </w:r>
          </w:p>
        </w:tc>
        <w:tc>
          <w:tcPr>
            <w:tcW w:w="0" w:type="auto"/>
            <w:tcBorders>
              <w:bottom w:val="single" w:sz="4" w:space="0" w:color="auto"/>
            </w:tcBorders>
          </w:tcPr>
          <w:p w:rsidR="005D5DF3" w:rsidRPr="00A90FCD" w:rsidRDefault="005D5DF3" w:rsidP="00A90FCD">
            <w:pPr>
              <w:tabs>
                <w:tab w:val="left" w:pos="993"/>
              </w:tabs>
              <w:spacing w:after="0" w:line="240" w:lineRule="auto"/>
              <w:rPr>
                <w:rFonts w:ascii="Arial" w:hAnsi="Arial" w:cs="Arial"/>
                <w:color w:val="FF0000"/>
                <w:sz w:val="20"/>
                <w:szCs w:val="20"/>
              </w:rPr>
            </w:pPr>
            <w:r w:rsidRPr="00A90FCD">
              <w:rPr>
                <w:rFonts w:ascii="Arial" w:hAnsi="Arial" w:cs="Arial"/>
                <w:color w:val="FF0000"/>
                <w:sz w:val="20"/>
                <w:szCs w:val="20"/>
              </w:rPr>
              <w:t xml:space="preserve">  </w:t>
            </w:r>
          </w:p>
        </w:tc>
        <w:tc>
          <w:tcPr>
            <w:tcW w:w="0" w:type="auto"/>
            <w:tcBorders>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i/>
                <w:color w:val="FF0000"/>
                <w:sz w:val="20"/>
                <w:szCs w:val="20"/>
              </w:rPr>
              <w:t>N cases</w:t>
            </w:r>
          </w:p>
        </w:tc>
        <w:tc>
          <w:tcPr>
            <w:tcW w:w="0" w:type="auto"/>
            <w:tcBorders>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OR</w:t>
            </w:r>
          </w:p>
        </w:tc>
        <w:tc>
          <w:tcPr>
            <w:tcW w:w="0" w:type="auto"/>
            <w:tcBorders>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95 %CI</w:t>
            </w:r>
          </w:p>
        </w:tc>
        <w:tc>
          <w:tcPr>
            <w:tcW w:w="0" w:type="auto"/>
            <w:tcBorders>
              <w:bottom w:val="single" w:sz="4" w:space="0" w:color="auto"/>
            </w:tcBorders>
          </w:tcPr>
          <w:p w:rsidR="005D5DF3" w:rsidRPr="00A90FCD" w:rsidRDefault="005D5DF3" w:rsidP="00896A55">
            <w:pPr>
              <w:tabs>
                <w:tab w:val="left" w:pos="993"/>
              </w:tabs>
              <w:spacing w:after="0" w:line="240" w:lineRule="auto"/>
              <w:rPr>
                <w:rFonts w:ascii="Arial" w:hAnsi="Arial" w:cs="Arial"/>
                <w:color w:val="FF0000"/>
                <w:sz w:val="20"/>
                <w:szCs w:val="20"/>
              </w:rPr>
            </w:pPr>
          </w:p>
        </w:tc>
      </w:tr>
      <w:tr w:rsidR="00A90FCD" w:rsidRPr="00A90FCD" w:rsidTr="00A90FCD">
        <w:tc>
          <w:tcPr>
            <w:tcW w:w="0" w:type="auto"/>
            <w:gridSpan w:val="13"/>
            <w:tcBorders>
              <w:top w:val="single" w:sz="4" w:space="0" w:color="auto"/>
              <w:bottom w:val="nil"/>
            </w:tcBorders>
          </w:tcPr>
          <w:p w:rsidR="005D5DF3" w:rsidRPr="00A90FCD" w:rsidRDefault="005D5DF3" w:rsidP="00896A55">
            <w:pPr>
              <w:tabs>
                <w:tab w:val="left" w:pos="993"/>
              </w:tabs>
              <w:spacing w:after="0" w:line="240" w:lineRule="auto"/>
              <w:rPr>
                <w:rFonts w:ascii="Arial" w:hAnsi="Arial" w:cs="Arial"/>
                <w:color w:val="FF0000"/>
                <w:sz w:val="20"/>
                <w:szCs w:val="20"/>
              </w:rPr>
            </w:pPr>
            <w:r w:rsidRPr="00A90FCD">
              <w:rPr>
                <w:rFonts w:ascii="Arial" w:hAnsi="Arial" w:cs="Arial"/>
                <w:color w:val="FF0000"/>
                <w:sz w:val="20"/>
                <w:szCs w:val="20"/>
              </w:rPr>
              <w:t xml:space="preserve">After excluding the 361 obese participants </w:t>
            </w:r>
            <w:r w:rsidR="00B7654E">
              <w:rPr>
                <w:rFonts w:ascii="Arial" w:hAnsi="Arial" w:cs="Arial"/>
                <w:color w:val="FF0000"/>
                <w:sz w:val="20"/>
                <w:szCs w:val="20"/>
              </w:rPr>
              <w:t>†</w:t>
            </w:r>
          </w:p>
        </w:tc>
      </w:tr>
      <w:tr w:rsidR="00A90FCD" w:rsidRPr="00A90FCD" w:rsidTr="00A90FCD">
        <w:tc>
          <w:tcPr>
            <w:tcW w:w="0" w:type="auto"/>
            <w:tcBorders>
              <w:top w:val="nil"/>
              <w:bottom w:val="nil"/>
            </w:tcBorders>
          </w:tcPr>
          <w:p w:rsidR="005D5DF3" w:rsidRPr="00A90FCD" w:rsidRDefault="005D5DF3" w:rsidP="00896A55">
            <w:pPr>
              <w:tabs>
                <w:tab w:val="left" w:pos="993"/>
              </w:tabs>
              <w:spacing w:after="0" w:line="240" w:lineRule="auto"/>
              <w:rPr>
                <w:rFonts w:ascii="Arial" w:hAnsi="Arial" w:cs="Arial"/>
                <w:color w:val="FF0000"/>
                <w:sz w:val="20"/>
                <w:szCs w:val="20"/>
              </w:rPr>
            </w:pPr>
            <w:r w:rsidRPr="00A90FCD">
              <w:rPr>
                <w:rFonts w:ascii="Arial" w:hAnsi="Arial" w:cs="Arial"/>
                <w:color w:val="FF0000"/>
                <w:sz w:val="20"/>
                <w:szCs w:val="20"/>
              </w:rPr>
              <w:t xml:space="preserve">0  </w:t>
            </w:r>
          </w:p>
        </w:tc>
        <w:tc>
          <w:tcPr>
            <w:tcW w:w="0" w:type="auto"/>
            <w:tcBorders>
              <w:top w:val="nil"/>
              <w:bottom w:val="nil"/>
            </w:tcBorders>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505</w:t>
            </w:r>
          </w:p>
        </w:tc>
        <w:tc>
          <w:tcPr>
            <w:tcW w:w="0" w:type="auto"/>
            <w:tcBorders>
              <w:top w:val="nil"/>
              <w:bottom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w:t>
            </w:r>
          </w:p>
        </w:tc>
        <w:tc>
          <w:tcPr>
            <w:tcW w:w="0" w:type="auto"/>
            <w:tcBorders>
              <w:top w:val="nil"/>
              <w:bottom w:val="nil"/>
            </w:tcBorders>
          </w:tcPr>
          <w:p w:rsidR="005D5DF3" w:rsidRPr="00A90FCD" w:rsidRDefault="00A90FCD"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Ref</w:t>
            </w:r>
          </w:p>
        </w:tc>
        <w:tc>
          <w:tcPr>
            <w:tcW w:w="0" w:type="auto"/>
            <w:tcBorders>
              <w:top w:val="nil"/>
              <w:bottom w:val="nil"/>
            </w:tcBorders>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Borders>
              <w:top w:val="nil"/>
              <w:bottom w:val="nil"/>
            </w:tcBorders>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157</w:t>
            </w:r>
          </w:p>
        </w:tc>
        <w:tc>
          <w:tcPr>
            <w:tcW w:w="0" w:type="auto"/>
            <w:tcBorders>
              <w:top w:val="nil"/>
              <w:bottom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Borders>
              <w:top w:val="nil"/>
              <w:bottom w:val="nil"/>
            </w:tcBorders>
          </w:tcPr>
          <w:p w:rsidR="005D5DF3" w:rsidRPr="00A90FCD" w:rsidRDefault="00A90FCD"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Ref</w:t>
            </w:r>
          </w:p>
        </w:tc>
        <w:tc>
          <w:tcPr>
            <w:tcW w:w="0" w:type="auto"/>
            <w:tcBorders>
              <w:top w:val="nil"/>
              <w:bottom w:val="nil"/>
            </w:tcBorders>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Borders>
              <w:top w:val="nil"/>
              <w:bottom w:val="nil"/>
            </w:tcBorders>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63</w:t>
            </w:r>
          </w:p>
        </w:tc>
        <w:tc>
          <w:tcPr>
            <w:tcW w:w="0" w:type="auto"/>
            <w:tcBorders>
              <w:top w:val="nil"/>
              <w:bottom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Borders>
              <w:top w:val="nil"/>
              <w:bottom w:val="nil"/>
            </w:tcBorders>
          </w:tcPr>
          <w:p w:rsidR="005D5DF3" w:rsidRPr="00A90FCD" w:rsidRDefault="00A90FCD"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Ref</w:t>
            </w:r>
          </w:p>
        </w:tc>
        <w:tc>
          <w:tcPr>
            <w:tcW w:w="0" w:type="auto"/>
            <w:tcBorders>
              <w:top w:val="nil"/>
              <w:bottom w:val="nil"/>
            </w:tcBorders>
          </w:tcPr>
          <w:p w:rsidR="005D5DF3" w:rsidRPr="00A90FCD" w:rsidRDefault="005D5DF3" w:rsidP="00896A55">
            <w:pPr>
              <w:tabs>
                <w:tab w:val="left" w:pos="993"/>
              </w:tabs>
              <w:spacing w:after="0" w:line="240" w:lineRule="auto"/>
              <w:rPr>
                <w:rFonts w:ascii="Arial" w:hAnsi="Arial" w:cs="Arial"/>
                <w:color w:val="FF0000"/>
                <w:sz w:val="20"/>
                <w:szCs w:val="20"/>
              </w:rPr>
            </w:pPr>
          </w:p>
        </w:tc>
      </w:tr>
      <w:tr w:rsidR="00A90FCD" w:rsidRPr="00A90FCD" w:rsidTr="00A90FCD">
        <w:tc>
          <w:tcPr>
            <w:tcW w:w="0" w:type="auto"/>
            <w:tcBorders>
              <w:top w:val="nil"/>
            </w:tcBorders>
          </w:tcPr>
          <w:p w:rsidR="005D5DF3" w:rsidRPr="00A90FCD" w:rsidRDefault="005D5DF3" w:rsidP="00896A55">
            <w:pPr>
              <w:tabs>
                <w:tab w:val="left" w:pos="993"/>
              </w:tabs>
              <w:spacing w:after="0" w:line="240" w:lineRule="auto"/>
              <w:rPr>
                <w:rFonts w:ascii="Arial" w:hAnsi="Arial" w:cs="Arial"/>
                <w:color w:val="FF0000"/>
                <w:sz w:val="20"/>
                <w:szCs w:val="20"/>
              </w:rPr>
            </w:pPr>
            <w:r w:rsidRPr="00A90FCD">
              <w:rPr>
                <w:rFonts w:ascii="Arial" w:hAnsi="Arial" w:cs="Arial"/>
                <w:color w:val="FF0000"/>
                <w:sz w:val="20"/>
                <w:szCs w:val="20"/>
              </w:rPr>
              <w:t xml:space="preserve">1  </w:t>
            </w:r>
          </w:p>
        </w:tc>
        <w:tc>
          <w:tcPr>
            <w:tcW w:w="0" w:type="auto"/>
            <w:tcBorders>
              <w:top w:val="nil"/>
            </w:tcBorders>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127</w:t>
            </w:r>
          </w:p>
        </w:tc>
        <w:tc>
          <w:tcPr>
            <w:tcW w:w="0" w:type="auto"/>
            <w:tcBorders>
              <w:top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0.68</w:t>
            </w:r>
          </w:p>
        </w:tc>
        <w:tc>
          <w:tcPr>
            <w:tcW w:w="0" w:type="auto"/>
            <w:tcBorders>
              <w:top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0.54;0.86</w:t>
            </w:r>
          </w:p>
        </w:tc>
        <w:tc>
          <w:tcPr>
            <w:tcW w:w="0" w:type="auto"/>
            <w:tcBorders>
              <w:top w:val="nil"/>
            </w:tcBorders>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Borders>
              <w:top w:val="nil"/>
            </w:tcBorders>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84</w:t>
            </w:r>
          </w:p>
        </w:tc>
        <w:tc>
          <w:tcPr>
            <w:tcW w:w="0" w:type="auto"/>
            <w:tcBorders>
              <w:top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1.38</w:t>
            </w:r>
          </w:p>
        </w:tc>
        <w:tc>
          <w:tcPr>
            <w:tcW w:w="0" w:type="auto"/>
            <w:tcBorders>
              <w:top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1.03;1.84</w:t>
            </w:r>
          </w:p>
        </w:tc>
        <w:tc>
          <w:tcPr>
            <w:tcW w:w="0" w:type="auto"/>
            <w:tcBorders>
              <w:top w:val="nil"/>
            </w:tcBorders>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Borders>
              <w:top w:val="nil"/>
            </w:tcBorders>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31</w:t>
            </w:r>
          </w:p>
        </w:tc>
        <w:tc>
          <w:tcPr>
            <w:tcW w:w="0" w:type="auto"/>
            <w:tcBorders>
              <w:top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1.19</w:t>
            </w:r>
          </w:p>
        </w:tc>
        <w:tc>
          <w:tcPr>
            <w:tcW w:w="0" w:type="auto"/>
            <w:tcBorders>
              <w:top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0.75;1.87</w:t>
            </w:r>
          </w:p>
        </w:tc>
        <w:tc>
          <w:tcPr>
            <w:tcW w:w="0" w:type="auto"/>
            <w:tcBorders>
              <w:top w:val="nil"/>
            </w:tcBorders>
          </w:tcPr>
          <w:p w:rsidR="005D5DF3" w:rsidRPr="00A90FCD" w:rsidRDefault="005D5DF3" w:rsidP="00896A55">
            <w:pPr>
              <w:tabs>
                <w:tab w:val="left" w:pos="993"/>
              </w:tabs>
              <w:spacing w:after="0" w:line="240" w:lineRule="auto"/>
              <w:rPr>
                <w:rFonts w:ascii="Arial" w:hAnsi="Arial" w:cs="Arial"/>
                <w:color w:val="FF0000"/>
                <w:sz w:val="20"/>
                <w:szCs w:val="20"/>
              </w:rPr>
            </w:pPr>
          </w:p>
        </w:tc>
      </w:tr>
      <w:tr w:rsidR="00A90FCD" w:rsidRPr="00A90FCD" w:rsidTr="00A90FCD">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r w:rsidRPr="00A90FCD">
              <w:rPr>
                <w:rFonts w:ascii="Arial" w:hAnsi="Arial" w:cs="Arial"/>
                <w:color w:val="FF0000"/>
                <w:sz w:val="20"/>
                <w:szCs w:val="20"/>
              </w:rPr>
              <w:t xml:space="preserve">2  </w:t>
            </w: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43</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0.62</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0.44;0.89</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40</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1.34</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0.89;2.01</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27</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2.09</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1.26;3.49</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r>
      <w:tr w:rsidR="00A90FCD" w:rsidRPr="00A90FCD" w:rsidTr="00A90FCD">
        <w:tc>
          <w:tcPr>
            <w:tcW w:w="0" w:type="auto"/>
            <w:gridSpan w:val="13"/>
          </w:tcPr>
          <w:p w:rsidR="005D5DF3" w:rsidRPr="00A90FCD" w:rsidRDefault="005D5DF3" w:rsidP="00896A55">
            <w:pPr>
              <w:tabs>
                <w:tab w:val="left" w:pos="993"/>
              </w:tabs>
              <w:spacing w:after="0" w:line="240" w:lineRule="auto"/>
              <w:rPr>
                <w:rFonts w:ascii="Arial" w:hAnsi="Arial" w:cs="Arial"/>
                <w:color w:val="FF0000"/>
                <w:sz w:val="20"/>
                <w:szCs w:val="20"/>
              </w:rPr>
            </w:pPr>
            <w:r w:rsidRPr="00A90FCD">
              <w:rPr>
                <w:rFonts w:ascii="Arial" w:hAnsi="Arial" w:cs="Arial"/>
                <w:color w:val="FF0000"/>
                <w:sz w:val="20"/>
                <w:szCs w:val="20"/>
              </w:rPr>
              <w:t xml:space="preserve">After excluding the 295 anti-inflammatory drugs users </w:t>
            </w:r>
          </w:p>
        </w:tc>
      </w:tr>
      <w:tr w:rsidR="00A90FCD" w:rsidRPr="00A90FCD" w:rsidTr="00A90FCD">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r w:rsidRPr="00A90FCD">
              <w:rPr>
                <w:rFonts w:ascii="Arial" w:hAnsi="Arial" w:cs="Arial"/>
                <w:color w:val="FF0000"/>
                <w:sz w:val="20"/>
                <w:szCs w:val="20"/>
              </w:rPr>
              <w:t xml:space="preserve">0 </w:t>
            </w: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501</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A90FCD"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Ref</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143</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A90FCD"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Ref</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61</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A90FCD"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Ref</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r>
      <w:tr w:rsidR="00A90FCD" w:rsidRPr="00A90FCD" w:rsidTr="00A90FCD">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r w:rsidRPr="00A90FCD">
              <w:rPr>
                <w:rFonts w:ascii="Arial" w:hAnsi="Arial" w:cs="Arial"/>
                <w:color w:val="FF0000"/>
                <w:sz w:val="20"/>
                <w:szCs w:val="20"/>
              </w:rPr>
              <w:t xml:space="preserve">1 </w:t>
            </w: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137</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0.67</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0.54;0.84</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85</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1.37</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1.04;1.81</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33</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1.34</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0.88;2.02</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r>
      <w:tr w:rsidR="00A90FCD" w:rsidRPr="00A90FCD" w:rsidTr="00A90FCD">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r w:rsidRPr="00A90FCD">
              <w:rPr>
                <w:rFonts w:ascii="Arial" w:hAnsi="Arial" w:cs="Arial"/>
                <w:color w:val="FF0000"/>
                <w:sz w:val="20"/>
                <w:szCs w:val="20"/>
              </w:rPr>
              <w:t xml:space="preserve">2 </w:t>
            </w: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46</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0.54</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0.38;0.76</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52</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1.64</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1.14;2.35</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29</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2.44</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1.55;3.82</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r>
      <w:tr w:rsidR="00A90FCD" w:rsidRPr="00A90FCD" w:rsidTr="00A90FCD">
        <w:tc>
          <w:tcPr>
            <w:tcW w:w="0" w:type="auto"/>
            <w:gridSpan w:val="6"/>
          </w:tcPr>
          <w:p w:rsidR="005D5DF3" w:rsidRPr="00A90FCD" w:rsidRDefault="005D5DF3" w:rsidP="00CE4D76">
            <w:pPr>
              <w:tabs>
                <w:tab w:val="left" w:pos="993"/>
              </w:tabs>
              <w:spacing w:after="0" w:line="240" w:lineRule="auto"/>
              <w:rPr>
                <w:rFonts w:ascii="Arial" w:hAnsi="Arial" w:cs="Arial"/>
                <w:i/>
                <w:color w:val="FF0000"/>
                <w:sz w:val="20"/>
                <w:szCs w:val="20"/>
              </w:rPr>
            </w:pPr>
            <w:r w:rsidRPr="00A90FCD">
              <w:rPr>
                <w:rFonts w:ascii="Arial" w:hAnsi="Arial" w:cs="Arial"/>
                <w:color w:val="FF0000"/>
                <w:sz w:val="20"/>
                <w:szCs w:val="20"/>
              </w:rPr>
              <w:t xml:space="preserve">After excluding the 86 participants with acute inflammation </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r>
      <w:tr w:rsidR="00A90FCD" w:rsidRPr="00A90FCD" w:rsidTr="00A90FCD">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r w:rsidRPr="00A90FCD">
              <w:rPr>
                <w:rFonts w:ascii="Arial" w:hAnsi="Arial" w:cs="Arial"/>
                <w:color w:val="FF0000"/>
                <w:sz w:val="20"/>
                <w:szCs w:val="20"/>
              </w:rPr>
              <w:t xml:space="preserve">0 </w:t>
            </w: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525</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A90FCD"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Ref</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164</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A90FCD"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Ref</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67</w:t>
            </w:r>
          </w:p>
        </w:tc>
        <w:tc>
          <w:tcPr>
            <w:tcW w:w="0" w:type="auto"/>
          </w:tcPr>
          <w:p w:rsidR="005D5DF3" w:rsidRPr="00A90FCD" w:rsidRDefault="005D5DF3" w:rsidP="00896A55">
            <w:pPr>
              <w:tabs>
                <w:tab w:val="left" w:pos="993"/>
              </w:tabs>
              <w:spacing w:after="0" w:line="240" w:lineRule="auto"/>
              <w:jc w:val="center"/>
              <w:rPr>
                <w:rFonts w:ascii="Arial" w:hAnsi="Arial" w:cs="Arial"/>
                <w:color w:val="FF0000"/>
                <w:sz w:val="20"/>
                <w:szCs w:val="20"/>
              </w:rPr>
            </w:pPr>
          </w:p>
        </w:tc>
        <w:tc>
          <w:tcPr>
            <w:tcW w:w="0" w:type="auto"/>
          </w:tcPr>
          <w:p w:rsidR="005D5DF3" w:rsidRPr="00A90FCD" w:rsidRDefault="00A90FCD"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Ref</w:t>
            </w:r>
          </w:p>
        </w:tc>
        <w:tc>
          <w:tcPr>
            <w:tcW w:w="0" w:type="auto"/>
          </w:tcPr>
          <w:p w:rsidR="005D5DF3" w:rsidRPr="00A90FCD" w:rsidRDefault="005D5DF3" w:rsidP="00896A55">
            <w:pPr>
              <w:tabs>
                <w:tab w:val="left" w:pos="993"/>
              </w:tabs>
              <w:spacing w:after="0" w:line="240" w:lineRule="auto"/>
              <w:rPr>
                <w:rFonts w:ascii="Arial" w:hAnsi="Arial" w:cs="Arial"/>
                <w:color w:val="FF0000"/>
                <w:sz w:val="20"/>
                <w:szCs w:val="20"/>
              </w:rPr>
            </w:pPr>
          </w:p>
        </w:tc>
      </w:tr>
      <w:tr w:rsidR="00A90FCD" w:rsidRPr="00A90FCD" w:rsidTr="00A90FCD">
        <w:tc>
          <w:tcPr>
            <w:tcW w:w="0" w:type="auto"/>
            <w:tcBorders>
              <w:bottom w:val="nil"/>
            </w:tcBorders>
          </w:tcPr>
          <w:p w:rsidR="005D5DF3" w:rsidRPr="00A90FCD" w:rsidRDefault="005D5DF3" w:rsidP="00896A55">
            <w:pPr>
              <w:tabs>
                <w:tab w:val="left" w:pos="993"/>
              </w:tabs>
              <w:spacing w:after="0" w:line="240" w:lineRule="auto"/>
              <w:rPr>
                <w:rFonts w:ascii="Arial" w:hAnsi="Arial" w:cs="Arial"/>
                <w:color w:val="FF0000"/>
                <w:sz w:val="20"/>
                <w:szCs w:val="20"/>
              </w:rPr>
            </w:pPr>
            <w:r w:rsidRPr="00A90FCD">
              <w:rPr>
                <w:rFonts w:ascii="Arial" w:hAnsi="Arial" w:cs="Arial"/>
                <w:color w:val="FF0000"/>
                <w:sz w:val="20"/>
                <w:szCs w:val="20"/>
              </w:rPr>
              <w:t xml:space="preserve">1 </w:t>
            </w:r>
          </w:p>
        </w:tc>
        <w:tc>
          <w:tcPr>
            <w:tcW w:w="0" w:type="auto"/>
            <w:tcBorders>
              <w:bottom w:val="nil"/>
            </w:tcBorders>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141</w:t>
            </w:r>
          </w:p>
        </w:tc>
        <w:tc>
          <w:tcPr>
            <w:tcW w:w="0" w:type="auto"/>
            <w:tcBorders>
              <w:bottom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0.66</w:t>
            </w:r>
          </w:p>
        </w:tc>
        <w:tc>
          <w:tcPr>
            <w:tcW w:w="0" w:type="auto"/>
            <w:tcBorders>
              <w:bottom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0.53;0.81</w:t>
            </w:r>
          </w:p>
        </w:tc>
        <w:tc>
          <w:tcPr>
            <w:tcW w:w="0" w:type="auto"/>
            <w:tcBorders>
              <w:bottom w:val="nil"/>
            </w:tcBorders>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Borders>
              <w:bottom w:val="nil"/>
            </w:tcBorders>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93</w:t>
            </w:r>
          </w:p>
        </w:tc>
        <w:tc>
          <w:tcPr>
            <w:tcW w:w="0" w:type="auto"/>
            <w:tcBorders>
              <w:bottom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1.44</w:t>
            </w:r>
          </w:p>
        </w:tc>
        <w:tc>
          <w:tcPr>
            <w:tcW w:w="0" w:type="auto"/>
            <w:tcBorders>
              <w:bottom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1.07;1.94</w:t>
            </w:r>
          </w:p>
        </w:tc>
        <w:tc>
          <w:tcPr>
            <w:tcW w:w="0" w:type="auto"/>
            <w:tcBorders>
              <w:bottom w:val="nil"/>
            </w:tcBorders>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Borders>
              <w:bottom w:val="nil"/>
            </w:tcBorders>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40</w:t>
            </w:r>
          </w:p>
        </w:tc>
        <w:tc>
          <w:tcPr>
            <w:tcW w:w="0" w:type="auto"/>
            <w:tcBorders>
              <w:bottom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1.24</w:t>
            </w:r>
          </w:p>
        </w:tc>
        <w:tc>
          <w:tcPr>
            <w:tcW w:w="0" w:type="auto"/>
            <w:tcBorders>
              <w:bottom w:val="nil"/>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0.80;1.94</w:t>
            </w:r>
          </w:p>
        </w:tc>
        <w:tc>
          <w:tcPr>
            <w:tcW w:w="0" w:type="auto"/>
            <w:tcBorders>
              <w:bottom w:val="nil"/>
            </w:tcBorders>
          </w:tcPr>
          <w:p w:rsidR="005D5DF3" w:rsidRPr="00A90FCD" w:rsidRDefault="005D5DF3" w:rsidP="00896A55">
            <w:pPr>
              <w:tabs>
                <w:tab w:val="left" w:pos="993"/>
              </w:tabs>
              <w:spacing w:after="0" w:line="240" w:lineRule="auto"/>
              <w:rPr>
                <w:rFonts w:ascii="Arial" w:hAnsi="Arial" w:cs="Arial"/>
                <w:color w:val="FF0000"/>
                <w:sz w:val="20"/>
                <w:szCs w:val="20"/>
              </w:rPr>
            </w:pPr>
          </w:p>
        </w:tc>
      </w:tr>
      <w:tr w:rsidR="00A90FCD" w:rsidRPr="00A90FCD" w:rsidTr="00A90FCD">
        <w:tc>
          <w:tcPr>
            <w:tcW w:w="0" w:type="auto"/>
            <w:tcBorders>
              <w:top w:val="nil"/>
              <w:bottom w:val="single" w:sz="4" w:space="0" w:color="auto"/>
            </w:tcBorders>
          </w:tcPr>
          <w:p w:rsidR="005D5DF3" w:rsidRPr="00A90FCD" w:rsidRDefault="005D5DF3" w:rsidP="00896A55">
            <w:pPr>
              <w:tabs>
                <w:tab w:val="left" w:pos="993"/>
              </w:tabs>
              <w:spacing w:after="0" w:line="240" w:lineRule="auto"/>
              <w:rPr>
                <w:rFonts w:ascii="Arial" w:hAnsi="Arial" w:cs="Arial"/>
                <w:color w:val="FF0000"/>
                <w:sz w:val="20"/>
                <w:szCs w:val="20"/>
              </w:rPr>
            </w:pPr>
            <w:r w:rsidRPr="00A90FCD">
              <w:rPr>
                <w:rFonts w:ascii="Arial" w:hAnsi="Arial" w:cs="Arial"/>
                <w:color w:val="FF0000"/>
                <w:sz w:val="20"/>
                <w:szCs w:val="20"/>
              </w:rPr>
              <w:t xml:space="preserve">2  </w:t>
            </w:r>
          </w:p>
        </w:tc>
        <w:tc>
          <w:tcPr>
            <w:tcW w:w="0" w:type="auto"/>
            <w:tcBorders>
              <w:top w:val="nil"/>
              <w:bottom w:val="single" w:sz="4" w:space="0" w:color="auto"/>
            </w:tcBorders>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46</w:t>
            </w:r>
          </w:p>
        </w:tc>
        <w:tc>
          <w:tcPr>
            <w:tcW w:w="0" w:type="auto"/>
            <w:tcBorders>
              <w:top w:val="nil"/>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0.53</w:t>
            </w:r>
          </w:p>
        </w:tc>
        <w:tc>
          <w:tcPr>
            <w:tcW w:w="0" w:type="auto"/>
            <w:tcBorders>
              <w:top w:val="nil"/>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0.38;0.75</w:t>
            </w:r>
          </w:p>
        </w:tc>
        <w:tc>
          <w:tcPr>
            <w:tcW w:w="0" w:type="auto"/>
            <w:tcBorders>
              <w:top w:val="nil"/>
              <w:bottom w:val="single" w:sz="4" w:space="0" w:color="auto"/>
            </w:tcBorders>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Borders>
              <w:top w:val="nil"/>
              <w:bottom w:val="single" w:sz="4" w:space="0" w:color="auto"/>
            </w:tcBorders>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51</w:t>
            </w:r>
          </w:p>
        </w:tc>
        <w:tc>
          <w:tcPr>
            <w:tcW w:w="0" w:type="auto"/>
            <w:tcBorders>
              <w:top w:val="nil"/>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1.77</w:t>
            </w:r>
          </w:p>
        </w:tc>
        <w:tc>
          <w:tcPr>
            <w:tcW w:w="0" w:type="auto"/>
            <w:tcBorders>
              <w:top w:val="nil"/>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1.22;2.58</w:t>
            </w:r>
          </w:p>
        </w:tc>
        <w:tc>
          <w:tcPr>
            <w:tcW w:w="0" w:type="auto"/>
            <w:tcBorders>
              <w:top w:val="nil"/>
              <w:bottom w:val="single" w:sz="4" w:space="0" w:color="auto"/>
            </w:tcBorders>
          </w:tcPr>
          <w:p w:rsidR="005D5DF3" w:rsidRPr="00A90FCD" w:rsidRDefault="005D5DF3" w:rsidP="00896A55">
            <w:pPr>
              <w:tabs>
                <w:tab w:val="left" w:pos="993"/>
              </w:tabs>
              <w:spacing w:after="0" w:line="240" w:lineRule="auto"/>
              <w:rPr>
                <w:rFonts w:ascii="Arial" w:hAnsi="Arial" w:cs="Arial"/>
                <w:color w:val="FF0000"/>
                <w:sz w:val="20"/>
                <w:szCs w:val="20"/>
              </w:rPr>
            </w:pPr>
          </w:p>
        </w:tc>
        <w:tc>
          <w:tcPr>
            <w:tcW w:w="0" w:type="auto"/>
            <w:tcBorders>
              <w:top w:val="nil"/>
              <w:bottom w:val="single" w:sz="4" w:space="0" w:color="auto"/>
            </w:tcBorders>
          </w:tcPr>
          <w:p w:rsidR="005D5DF3" w:rsidRPr="00A90FCD" w:rsidRDefault="005D5DF3" w:rsidP="00896A55">
            <w:pPr>
              <w:tabs>
                <w:tab w:val="left" w:pos="993"/>
              </w:tabs>
              <w:spacing w:after="0" w:line="240" w:lineRule="auto"/>
              <w:jc w:val="center"/>
              <w:rPr>
                <w:rFonts w:ascii="Arial" w:hAnsi="Arial" w:cs="Arial"/>
                <w:i/>
                <w:color w:val="FF0000"/>
                <w:sz w:val="20"/>
                <w:szCs w:val="20"/>
              </w:rPr>
            </w:pPr>
            <w:r w:rsidRPr="00A90FCD">
              <w:rPr>
                <w:rFonts w:ascii="Arial" w:hAnsi="Arial" w:cs="Arial"/>
                <w:i/>
                <w:color w:val="FF0000"/>
                <w:sz w:val="20"/>
                <w:szCs w:val="20"/>
              </w:rPr>
              <w:t>36</w:t>
            </w:r>
          </w:p>
        </w:tc>
        <w:tc>
          <w:tcPr>
            <w:tcW w:w="0" w:type="auto"/>
            <w:tcBorders>
              <w:top w:val="nil"/>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2.13</w:t>
            </w:r>
          </w:p>
        </w:tc>
        <w:tc>
          <w:tcPr>
            <w:tcW w:w="0" w:type="auto"/>
            <w:tcBorders>
              <w:top w:val="nil"/>
              <w:bottom w:val="single" w:sz="4" w:space="0" w:color="auto"/>
            </w:tcBorders>
          </w:tcPr>
          <w:p w:rsidR="005D5DF3" w:rsidRPr="00A90FCD" w:rsidRDefault="005D5DF3" w:rsidP="00896A55">
            <w:pPr>
              <w:tabs>
                <w:tab w:val="left" w:pos="993"/>
              </w:tabs>
              <w:spacing w:after="0" w:line="240" w:lineRule="auto"/>
              <w:jc w:val="center"/>
              <w:rPr>
                <w:rFonts w:ascii="Arial" w:hAnsi="Arial" w:cs="Arial"/>
                <w:color w:val="FF0000"/>
                <w:sz w:val="20"/>
                <w:szCs w:val="20"/>
              </w:rPr>
            </w:pPr>
            <w:r w:rsidRPr="00A90FCD">
              <w:rPr>
                <w:rFonts w:ascii="Arial" w:hAnsi="Arial" w:cs="Arial"/>
                <w:color w:val="FF0000"/>
                <w:sz w:val="20"/>
                <w:szCs w:val="20"/>
              </w:rPr>
              <w:t>1.30;3.49</w:t>
            </w:r>
          </w:p>
        </w:tc>
        <w:tc>
          <w:tcPr>
            <w:tcW w:w="0" w:type="auto"/>
            <w:tcBorders>
              <w:top w:val="nil"/>
              <w:bottom w:val="single" w:sz="4" w:space="0" w:color="auto"/>
            </w:tcBorders>
          </w:tcPr>
          <w:p w:rsidR="005D5DF3" w:rsidRPr="00A90FCD" w:rsidRDefault="005D5DF3" w:rsidP="00896A55">
            <w:pPr>
              <w:tabs>
                <w:tab w:val="left" w:pos="993"/>
              </w:tabs>
              <w:spacing w:after="0" w:line="240" w:lineRule="auto"/>
              <w:rPr>
                <w:rFonts w:ascii="Arial" w:hAnsi="Arial" w:cs="Arial"/>
                <w:color w:val="FF0000"/>
                <w:sz w:val="20"/>
                <w:szCs w:val="20"/>
              </w:rPr>
            </w:pPr>
          </w:p>
        </w:tc>
      </w:tr>
    </w:tbl>
    <w:p w:rsidR="005D5DF3" w:rsidRPr="00A90FCD" w:rsidRDefault="005D5DF3" w:rsidP="00896A55">
      <w:pPr>
        <w:tabs>
          <w:tab w:val="left" w:pos="993"/>
        </w:tabs>
        <w:spacing w:after="0" w:line="240" w:lineRule="auto"/>
        <w:rPr>
          <w:rFonts w:ascii="Arial" w:hAnsi="Arial" w:cs="Arial"/>
          <w:color w:val="FF0000"/>
          <w:sz w:val="20"/>
          <w:szCs w:val="20"/>
        </w:rPr>
      </w:pPr>
    </w:p>
    <w:p w:rsidR="00CE4D76" w:rsidRDefault="00CE4D76" w:rsidP="00896A55">
      <w:pPr>
        <w:tabs>
          <w:tab w:val="left" w:pos="993"/>
        </w:tabs>
        <w:spacing w:after="0" w:line="240" w:lineRule="auto"/>
        <w:rPr>
          <w:rFonts w:ascii="Arial" w:hAnsi="Arial" w:cs="Arial"/>
          <w:sz w:val="20"/>
          <w:szCs w:val="20"/>
        </w:rPr>
      </w:pPr>
    </w:p>
    <w:p w:rsidR="00CE4D76" w:rsidRDefault="00CE4D76" w:rsidP="00896A55">
      <w:pPr>
        <w:tabs>
          <w:tab w:val="left" w:pos="993"/>
        </w:tabs>
        <w:spacing w:after="0" w:line="240" w:lineRule="auto"/>
        <w:rPr>
          <w:rFonts w:ascii="Arial" w:hAnsi="Arial" w:cs="Arial"/>
          <w:sz w:val="20"/>
          <w:szCs w:val="20"/>
        </w:rPr>
      </w:pPr>
      <w:r w:rsidRPr="00A90FCD">
        <w:rPr>
          <w:rFonts w:ascii="Arial" w:hAnsi="Arial" w:cs="Arial"/>
          <w:sz w:val="20"/>
          <w:szCs w:val="20"/>
        </w:rPr>
        <w:t>Three sets of sensitivity analyses were carried out to assess the extent to which the association between inflammation and aging phenotypes were driven by obesity, use of anti-inflammatory drugs and acute inflammation, by excluding successively (1) obese participants (defined by a body mass index ≥30kg/m2); (2) users of anti-inflammatory medications and (3) participants with acute inflammation (C-reactive protein &gt;10 mg/L)</w:t>
      </w:r>
    </w:p>
    <w:p w:rsidR="00CE4D76" w:rsidRDefault="00CE4D76" w:rsidP="00896A55">
      <w:pPr>
        <w:tabs>
          <w:tab w:val="left" w:pos="993"/>
        </w:tabs>
        <w:spacing w:after="0" w:line="240" w:lineRule="auto"/>
        <w:rPr>
          <w:rFonts w:ascii="Arial" w:hAnsi="Arial" w:cs="Arial"/>
          <w:sz w:val="20"/>
          <w:szCs w:val="20"/>
        </w:rPr>
      </w:pPr>
    </w:p>
    <w:p w:rsidR="005D5DF3" w:rsidRPr="00A90FCD" w:rsidRDefault="00B879C1" w:rsidP="00896A55">
      <w:pPr>
        <w:tabs>
          <w:tab w:val="left" w:pos="993"/>
        </w:tabs>
        <w:spacing w:after="0" w:line="240" w:lineRule="auto"/>
        <w:rPr>
          <w:rFonts w:ascii="Arial" w:hAnsi="Arial" w:cs="Arial"/>
          <w:sz w:val="20"/>
          <w:szCs w:val="20"/>
        </w:rPr>
      </w:pPr>
      <w:r>
        <w:rPr>
          <w:rFonts w:ascii="Arial" w:hAnsi="Arial" w:cs="Arial"/>
          <w:sz w:val="20"/>
          <w:szCs w:val="20"/>
        </w:rPr>
        <w:t>*</w:t>
      </w:r>
      <w:r w:rsidR="005D5DF3" w:rsidRPr="00A90FCD">
        <w:rPr>
          <w:rFonts w:ascii="Arial" w:hAnsi="Arial" w:cs="Arial"/>
          <w:sz w:val="20"/>
          <w:szCs w:val="20"/>
        </w:rPr>
        <w:t xml:space="preserve">Results from logistic regression adjusted for sex, age, </w:t>
      </w:r>
      <w:r w:rsidR="005D5DF3" w:rsidRPr="00A90FCD">
        <w:rPr>
          <w:rFonts w:ascii="Arial" w:hAnsi="Arial" w:cs="Arial"/>
          <w:sz w:val="20"/>
          <w:szCs w:val="20"/>
          <w:lang w:val="en-US"/>
        </w:rPr>
        <w:t>socio-economic status, smoking habits, physical activity, acute inflammation and use of anti-inflammatory drugs.</w:t>
      </w:r>
    </w:p>
    <w:p w:rsidR="005D5DF3" w:rsidRPr="00A90FCD" w:rsidRDefault="00B879C1" w:rsidP="00896A55">
      <w:pPr>
        <w:tabs>
          <w:tab w:val="left" w:pos="993"/>
        </w:tabs>
        <w:spacing w:after="0" w:line="240" w:lineRule="auto"/>
        <w:rPr>
          <w:rFonts w:ascii="Arial" w:hAnsi="Arial" w:cs="Arial"/>
          <w:sz w:val="20"/>
          <w:szCs w:val="20"/>
        </w:rPr>
      </w:pPr>
      <w:r w:rsidRPr="00B879C1">
        <w:rPr>
          <w:rFonts w:ascii="Arial" w:hAnsi="Arial" w:cs="Arial"/>
          <w:color w:val="FF0000"/>
          <w:sz w:val="20"/>
          <w:szCs w:val="20"/>
        </w:rPr>
        <w:t>**Interleukin-6 was measured twice (5 years before baseline and at baseline). A value of “2” indicates both measurements were high, a value of “1” that either measurement was high and a value of “0” indicates that none of these measurements was high.</w:t>
      </w:r>
    </w:p>
    <w:p w:rsidR="005D5DF3" w:rsidRPr="00A90FCD" w:rsidRDefault="005D5DF3" w:rsidP="00896A55">
      <w:pPr>
        <w:tabs>
          <w:tab w:val="left" w:pos="993"/>
        </w:tabs>
        <w:spacing w:after="0" w:line="240" w:lineRule="auto"/>
        <w:rPr>
          <w:rFonts w:ascii="Arial" w:hAnsi="Arial" w:cs="Arial"/>
          <w:sz w:val="20"/>
          <w:szCs w:val="20"/>
        </w:rPr>
      </w:pPr>
    </w:p>
    <w:p w:rsidR="005D5DF3" w:rsidRPr="00A90FCD" w:rsidRDefault="005D5DF3" w:rsidP="00896A55">
      <w:pPr>
        <w:spacing w:after="0" w:line="240" w:lineRule="auto"/>
        <w:rPr>
          <w:rFonts w:ascii="Arial" w:hAnsi="Arial" w:cs="Arial"/>
          <w:sz w:val="20"/>
          <w:szCs w:val="20"/>
        </w:rPr>
      </w:pPr>
      <w:r w:rsidRPr="00A90FCD">
        <w:rPr>
          <w:rFonts w:ascii="Arial" w:hAnsi="Arial" w:cs="Arial"/>
          <w:sz w:val="20"/>
          <w:szCs w:val="20"/>
        </w:rPr>
        <w:br w:type="page"/>
      </w:r>
    </w:p>
    <w:p w:rsidR="005D5DF3" w:rsidRPr="002D4438" w:rsidRDefault="005D5DF3" w:rsidP="00896A55">
      <w:pPr>
        <w:spacing w:after="0" w:line="240" w:lineRule="auto"/>
        <w:rPr>
          <w:rFonts w:ascii="Arial" w:hAnsi="Arial" w:cs="Arial"/>
          <w:b/>
          <w:color w:val="FF0000"/>
          <w:sz w:val="20"/>
          <w:szCs w:val="20"/>
        </w:rPr>
      </w:pPr>
      <w:r w:rsidRPr="00D013BB">
        <w:rPr>
          <w:rFonts w:ascii="Arial" w:hAnsi="Arial" w:cs="Arial"/>
          <w:b/>
          <w:color w:val="FF0000"/>
          <w:sz w:val="20"/>
          <w:szCs w:val="20"/>
        </w:rPr>
        <w:lastRenderedPageBreak/>
        <w:t xml:space="preserve">Appendix </w:t>
      </w:r>
      <w:r w:rsidR="002D4438">
        <w:rPr>
          <w:rFonts w:ascii="Arial" w:hAnsi="Arial" w:cs="Arial"/>
          <w:b/>
          <w:color w:val="FF0000"/>
          <w:sz w:val="20"/>
          <w:szCs w:val="20"/>
        </w:rPr>
        <w:t>7</w:t>
      </w:r>
      <w:bookmarkStart w:id="0" w:name="_GoBack"/>
      <w:bookmarkEnd w:id="0"/>
      <w:r w:rsidRPr="00D013BB">
        <w:rPr>
          <w:rFonts w:ascii="Arial" w:hAnsi="Arial" w:cs="Arial"/>
          <w:color w:val="FF0000"/>
          <w:sz w:val="20"/>
          <w:szCs w:val="20"/>
        </w:rPr>
        <w:t xml:space="preserve">: </w:t>
      </w:r>
      <w:r w:rsidRPr="00A90FCD">
        <w:rPr>
          <w:rFonts w:ascii="Arial" w:hAnsi="Arial" w:cs="Arial"/>
          <w:sz w:val="20"/>
          <w:szCs w:val="20"/>
        </w:rPr>
        <w:t>Computation of net reclassification improvement statistics characterizing the difference in predictive ability when inflammation was assessed using 2 measures (Model2) versus one measure (Model1)</w:t>
      </w:r>
    </w:p>
    <w:tbl>
      <w:tblPr>
        <w:tblpPr w:leftFromText="181" w:rightFromText="181" w:vertAnchor="text" w:horzAnchor="margin" w:tblpY="321"/>
        <w:tblOverlap w:val="never"/>
        <w:tblW w:w="13575" w:type="dxa"/>
        <w:tblBorders>
          <w:top w:val="single" w:sz="4" w:space="0" w:color="auto"/>
          <w:bottom w:val="single" w:sz="4" w:space="0" w:color="auto"/>
        </w:tblBorders>
        <w:tblLayout w:type="fixed"/>
        <w:tblLook w:val="00A0"/>
      </w:tblPr>
      <w:tblGrid>
        <w:gridCol w:w="3369"/>
        <w:gridCol w:w="283"/>
        <w:gridCol w:w="992"/>
        <w:gridCol w:w="1276"/>
        <w:gridCol w:w="915"/>
        <w:gridCol w:w="236"/>
        <w:gridCol w:w="834"/>
        <w:gridCol w:w="1417"/>
        <w:gridCol w:w="851"/>
        <w:gridCol w:w="283"/>
        <w:gridCol w:w="851"/>
        <w:gridCol w:w="1417"/>
        <w:gridCol w:w="851"/>
      </w:tblGrid>
      <w:tr w:rsidR="00A90FCD" w:rsidRPr="00A90FCD" w:rsidTr="00896A55">
        <w:trPr>
          <w:trHeight w:val="497"/>
        </w:trPr>
        <w:tc>
          <w:tcPr>
            <w:tcW w:w="3369"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3466" w:type="dxa"/>
            <w:gridSpan w:val="4"/>
            <w:vAlign w:val="center"/>
          </w:tcPr>
          <w:p w:rsidR="005D5DF3" w:rsidRPr="00A90FCD" w:rsidRDefault="005D5DF3" w:rsidP="00896A55">
            <w:pPr>
              <w:tabs>
                <w:tab w:val="left" w:pos="993"/>
              </w:tabs>
              <w:spacing w:after="0" w:line="240" w:lineRule="auto"/>
              <w:jc w:val="center"/>
              <w:rPr>
                <w:rFonts w:ascii="Arial" w:hAnsi="Arial" w:cs="Arial"/>
                <w:bCs/>
                <w:sz w:val="20"/>
                <w:szCs w:val="20"/>
              </w:rPr>
            </w:pPr>
            <w:r w:rsidRPr="00A90FCD">
              <w:rPr>
                <w:rFonts w:ascii="Arial" w:hAnsi="Arial" w:cs="Arial"/>
                <w:bCs/>
                <w:sz w:val="20"/>
                <w:szCs w:val="20"/>
              </w:rPr>
              <w:t>Successful aging, n= 721</w:t>
            </w:r>
          </w:p>
        </w:tc>
        <w:tc>
          <w:tcPr>
            <w:tcW w:w="3338" w:type="dxa"/>
            <w:gridSpan w:val="4"/>
            <w:vAlign w:val="center"/>
          </w:tcPr>
          <w:p w:rsidR="005D5DF3" w:rsidRPr="00A90FCD" w:rsidRDefault="005D5DF3" w:rsidP="00896A55">
            <w:pPr>
              <w:tabs>
                <w:tab w:val="left" w:pos="993"/>
              </w:tabs>
              <w:spacing w:after="0" w:line="240" w:lineRule="auto"/>
              <w:jc w:val="center"/>
              <w:rPr>
                <w:rFonts w:ascii="Arial" w:hAnsi="Arial" w:cs="Arial"/>
                <w:bCs/>
                <w:sz w:val="20"/>
                <w:szCs w:val="20"/>
              </w:rPr>
            </w:pPr>
            <w:r w:rsidRPr="00A90FCD">
              <w:rPr>
                <w:rFonts w:ascii="Arial" w:hAnsi="Arial" w:cs="Arial"/>
                <w:bCs/>
                <w:sz w:val="20"/>
                <w:szCs w:val="20"/>
              </w:rPr>
              <w:t>Fatal or non-fatal</w:t>
            </w:r>
          </w:p>
          <w:p w:rsidR="005D5DF3" w:rsidRPr="00A90FCD" w:rsidRDefault="005D5DF3" w:rsidP="00896A55">
            <w:pPr>
              <w:tabs>
                <w:tab w:val="left" w:pos="993"/>
              </w:tabs>
              <w:spacing w:after="0" w:line="240" w:lineRule="auto"/>
              <w:jc w:val="center"/>
              <w:rPr>
                <w:rFonts w:ascii="Arial" w:hAnsi="Arial" w:cs="Arial"/>
                <w:bCs/>
                <w:sz w:val="20"/>
                <w:szCs w:val="20"/>
              </w:rPr>
            </w:pPr>
            <w:r w:rsidRPr="00A90FCD">
              <w:rPr>
                <w:rFonts w:ascii="Arial" w:hAnsi="Arial" w:cs="Arial"/>
                <w:bCs/>
                <w:sz w:val="20"/>
                <w:szCs w:val="20"/>
              </w:rPr>
              <w:t>cardiovascular disease events, n=321</w:t>
            </w:r>
          </w:p>
        </w:tc>
        <w:tc>
          <w:tcPr>
            <w:tcW w:w="3402" w:type="dxa"/>
            <w:gridSpan w:val="4"/>
            <w:vAlign w:val="center"/>
          </w:tcPr>
          <w:p w:rsidR="005D5DF3" w:rsidRPr="00A90FCD" w:rsidRDefault="005D5DF3" w:rsidP="00896A55">
            <w:pPr>
              <w:tabs>
                <w:tab w:val="left" w:pos="993"/>
              </w:tabs>
              <w:spacing w:after="0" w:line="240" w:lineRule="auto"/>
              <w:jc w:val="center"/>
              <w:rPr>
                <w:rFonts w:ascii="Arial" w:hAnsi="Arial" w:cs="Arial"/>
                <w:bCs/>
                <w:sz w:val="20"/>
                <w:szCs w:val="20"/>
              </w:rPr>
            </w:pPr>
            <w:r w:rsidRPr="00A90FCD">
              <w:rPr>
                <w:rFonts w:ascii="Arial" w:hAnsi="Arial" w:cs="Arial"/>
                <w:bCs/>
                <w:sz w:val="20"/>
                <w:szCs w:val="20"/>
              </w:rPr>
              <w:t>Non-cardiovascular death, n= 147</w:t>
            </w:r>
          </w:p>
        </w:tc>
      </w:tr>
      <w:tr w:rsidR="00A90FCD" w:rsidRPr="00A90FCD" w:rsidTr="00896A55">
        <w:trPr>
          <w:trHeight w:val="249"/>
        </w:trPr>
        <w:tc>
          <w:tcPr>
            <w:tcW w:w="3369" w:type="dxa"/>
            <w:tcBorders>
              <w:bottom w:val="single" w:sz="4" w:space="0" w:color="auto"/>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tcBorders>
              <w:bottom w:val="single" w:sz="4" w:space="0" w:color="auto"/>
            </w:tcBorders>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tcBorders>
              <w:bottom w:val="single" w:sz="4" w:space="0" w:color="auto"/>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OR</w:t>
            </w:r>
          </w:p>
        </w:tc>
        <w:tc>
          <w:tcPr>
            <w:tcW w:w="1276" w:type="dxa"/>
            <w:tcBorders>
              <w:bottom w:val="single" w:sz="4" w:space="0" w:color="auto"/>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95 %CI</w:t>
            </w:r>
          </w:p>
        </w:tc>
        <w:tc>
          <w:tcPr>
            <w:tcW w:w="915" w:type="dxa"/>
            <w:tcBorders>
              <w:bottom w:val="single" w:sz="4" w:space="0" w:color="auto"/>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36" w:type="dxa"/>
            <w:tcBorders>
              <w:bottom w:val="single" w:sz="4" w:space="0" w:color="auto"/>
            </w:tcBorders>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tcBorders>
              <w:bottom w:val="single" w:sz="4" w:space="0" w:color="auto"/>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OR</w:t>
            </w:r>
          </w:p>
        </w:tc>
        <w:tc>
          <w:tcPr>
            <w:tcW w:w="1417" w:type="dxa"/>
            <w:tcBorders>
              <w:bottom w:val="single" w:sz="4" w:space="0" w:color="auto"/>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95 %CI</w:t>
            </w:r>
          </w:p>
        </w:tc>
        <w:tc>
          <w:tcPr>
            <w:tcW w:w="851" w:type="dxa"/>
            <w:tcBorders>
              <w:bottom w:val="single" w:sz="4" w:space="0" w:color="auto"/>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tcBorders>
              <w:bottom w:val="single" w:sz="4" w:space="0" w:color="auto"/>
            </w:tcBorders>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tcBorders>
              <w:bottom w:val="single" w:sz="4" w:space="0" w:color="auto"/>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OR</w:t>
            </w:r>
          </w:p>
        </w:tc>
        <w:tc>
          <w:tcPr>
            <w:tcW w:w="1417" w:type="dxa"/>
            <w:tcBorders>
              <w:bottom w:val="single" w:sz="4" w:space="0" w:color="auto"/>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95 %CI</w:t>
            </w:r>
          </w:p>
        </w:tc>
        <w:tc>
          <w:tcPr>
            <w:tcW w:w="851" w:type="dxa"/>
            <w:tcBorders>
              <w:bottom w:val="single" w:sz="4" w:space="0" w:color="auto"/>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49"/>
        </w:trPr>
        <w:tc>
          <w:tcPr>
            <w:tcW w:w="9322" w:type="dxa"/>
            <w:gridSpan w:val="8"/>
            <w:tcBorders>
              <w:top w:val="single" w:sz="4" w:space="0" w:color="auto"/>
              <w:bottom w:val="nil"/>
            </w:tcBorders>
            <w:vAlign w:val="center"/>
          </w:tcPr>
          <w:p w:rsidR="005D5DF3" w:rsidRPr="00A90FCD" w:rsidRDefault="005D5DF3" w:rsidP="00896A55">
            <w:pPr>
              <w:tabs>
                <w:tab w:val="left" w:pos="993"/>
              </w:tabs>
              <w:spacing w:after="0" w:line="240" w:lineRule="auto"/>
              <w:rPr>
                <w:rFonts w:ascii="Arial" w:hAnsi="Arial" w:cs="Arial"/>
                <w:sz w:val="20"/>
                <w:szCs w:val="20"/>
              </w:rPr>
            </w:pPr>
          </w:p>
        </w:tc>
        <w:tc>
          <w:tcPr>
            <w:tcW w:w="851" w:type="dxa"/>
            <w:tcBorders>
              <w:top w:val="single" w:sz="4" w:space="0" w:color="auto"/>
              <w:bottom w:val="nil"/>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1134" w:type="dxa"/>
            <w:gridSpan w:val="2"/>
            <w:tcBorders>
              <w:top w:val="single" w:sz="4" w:space="0" w:color="auto"/>
              <w:bottom w:val="nil"/>
            </w:tcBorders>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1417" w:type="dxa"/>
            <w:tcBorders>
              <w:top w:val="single" w:sz="4" w:space="0" w:color="auto"/>
              <w:bottom w:val="nil"/>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851" w:type="dxa"/>
            <w:tcBorders>
              <w:top w:val="single" w:sz="4" w:space="0" w:color="auto"/>
              <w:bottom w:val="nil"/>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63"/>
        </w:trPr>
        <w:tc>
          <w:tcPr>
            <w:tcW w:w="10173" w:type="dxa"/>
            <w:gridSpan w:val="9"/>
            <w:tcBorders>
              <w:top w:val="nil"/>
            </w:tcBorders>
            <w:vAlign w:val="center"/>
          </w:tcPr>
          <w:p w:rsidR="005D5DF3" w:rsidRPr="00A90FCD" w:rsidRDefault="005D5DF3" w:rsidP="00DA355E">
            <w:pPr>
              <w:tabs>
                <w:tab w:val="left" w:pos="993"/>
              </w:tabs>
              <w:spacing w:after="0" w:line="240" w:lineRule="auto"/>
              <w:rPr>
                <w:rFonts w:ascii="Arial" w:hAnsi="Arial" w:cs="Arial"/>
                <w:b/>
                <w:sz w:val="20"/>
                <w:szCs w:val="20"/>
              </w:rPr>
            </w:pPr>
            <w:r w:rsidRPr="00A90FCD">
              <w:rPr>
                <w:rFonts w:ascii="Arial" w:hAnsi="Arial" w:cs="Arial"/>
                <w:b/>
                <w:sz w:val="20"/>
                <w:szCs w:val="20"/>
              </w:rPr>
              <w:t xml:space="preserve">Model 1: Interleukin-6 assessed </w:t>
            </w:r>
            <w:r w:rsidR="00DA355E">
              <w:rPr>
                <w:rFonts w:ascii="Arial" w:hAnsi="Arial" w:cs="Arial"/>
                <w:b/>
                <w:sz w:val="20"/>
                <w:szCs w:val="20"/>
              </w:rPr>
              <w:t xml:space="preserve">at baseline </w:t>
            </w:r>
          </w:p>
        </w:tc>
        <w:tc>
          <w:tcPr>
            <w:tcW w:w="3402" w:type="dxa"/>
            <w:gridSpan w:val="4"/>
            <w:tcBorders>
              <w:top w:val="nil"/>
            </w:tcBorders>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A90FCD">
        <w:trPr>
          <w:trHeight w:val="96"/>
        </w:trPr>
        <w:tc>
          <w:tcPr>
            <w:tcW w:w="3369"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Low</w:t>
            </w: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w:t>
            </w:r>
          </w:p>
        </w:tc>
        <w:tc>
          <w:tcPr>
            <w:tcW w:w="1276" w:type="dxa"/>
            <w:vAlign w:val="center"/>
          </w:tcPr>
          <w:p w:rsidR="005D5DF3" w:rsidRPr="00A90FCD" w:rsidRDefault="00A90FCD"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Ref</w:t>
            </w: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Ref</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w:t>
            </w:r>
          </w:p>
        </w:tc>
        <w:tc>
          <w:tcPr>
            <w:tcW w:w="1417" w:type="dxa"/>
            <w:vAlign w:val="center"/>
          </w:tcPr>
          <w:p w:rsidR="005D5DF3" w:rsidRPr="00A90FCD" w:rsidRDefault="00A90FCD"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Ref</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49"/>
        </w:trPr>
        <w:tc>
          <w:tcPr>
            <w:tcW w:w="3369"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Int.</w:t>
            </w: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0.70</w:t>
            </w:r>
          </w:p>
        </w:tc>
        <w:tc>
          <w:tcPr>
            <w:tcW w:w="1276"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0.58-0.86</w:t>
            </w: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1.41</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1.00-1.99</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1.33</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0.78-2.28</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49"/>
        </w:trPr>
        <w:tc>
          <w:tcPr>
            <w:tcW w:w="3369"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High</w:t>
            </w: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045</w:t>
            </w:r>
          </w:p>
        </w:tc>
        <w:tc>
          <w:tcPr>
            <w:tcW w:w="1276"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0.35-0.59</w:t>
            </w: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1.76</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1.21-2.55</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2.64</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1.53-4.55</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49"/>
        </w:trPr>
        <w:tc>
          <w:tcPr>
            <w:tcW w:w="3369"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1276"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49"/>
        </w:trPr>
        <w:tc>
          <w:tcPr>
            <w:tcW w:w="13575" w:type="dxa"/>
            <w:gridSpan w:val="13"/>
            <w:vAlign w:val="center"/>
          </w:tcPr>
          <w:p w:rsidR="005D5DF3" w:rsidRPr="00A90FCD" w:rsidRDefault="005D5DF3" w:rsidP="00DA355E">
            <w:pPr>
              <w:tabs>
                <w:tab w:val="left" w:pos="993"/>
              </w:tabs>
              <w:spacing w:after="0" w:line="240" w:lineRule="auto"/>
              <w:rPr>
                <w:rFonts w:ascii="Arial" w:hAnsi="Arial" w:cs="Arial"/>
                <w:b/>
                <w:sz w:val="20"/>
                <w:szCs w:val="20"/>
              </w:rPr>
            </w:pPr>
            <w:r w:rsidRPr="00A90FCD">
              <w:rPr>
                <w:rFonts w:ascii="Arial" w:hAnsi="Arial" w:cs="Arial"/>
                <w:b/>
                <w:sz w:val="20"/>
                <w:szCs w:val="20"/>
              </w:rPr>
              <w:t xml:space="preserve">Model 2 </w:t>
            </w:r>
            <w:r w:rsidR="00F17232">
              <w:rPr>
                <w:rFonts w:ascii="Arial" w:hAnsi="Arial" w:cs="Arial"/>
                <w:b/>
                <w:sz w:val="20"/>
                <w:szCs w:val="20"/>
              </w:rPr>
              <w:t>:</w:t>
            </w:r>
            <w:r w:rsidRPr="00A90FCD">
              <w:rPr>
                <w:rFonts w:ascii="Arial" w:hAnsi="Arial" w:cs="Arial"/>
                <w:b/>
                <w:sz w:val="20"/>
                <w:szCs w:val="20"/>
              </w:rPr>
              <w:t xml:space="preserve">Interleukin-6 assessed </w:t>
            </w:r>
            <w:r w:rsidR="00DA355E">
              <w:rPr>
                <w:rFonts w:ascii="Arial" w:hAnsi="Arial" w:cs="Arial"/>
                <w:b/>
                <w:sz w:val="20"/>
                <w:szCs w:val="20"/>
              </w:rPr>
              <w:t xml:space="preserve">5-y before baseline and at baseline </w:t>
            </w:r>
          </w:p>
        </w:tc>
      </w:tr>
      <w:tr w:rsidR="00DA355E" w:rsidRPr="00A90FCD" w:rsidTr="005C3CFB">
        <w:trPr>
          <w:trHeight w:val="249"/>
        </w:trPr>
        <w:tc>
          <w:tcPr>
            <w:tcW w:w="6835" w:type="dxa"/>
            <w:gridSpan w:val="5"/>
            <w:vAlign w:val="center"/>
          </w:tcPr>
          <w:p w:rsidR="00DA355E" w:rsidRPr="00A90FCD" w:rsidRDefault="00DA355E" w:rsidP="00DA355E">
            <w:pPr>
              <w:tabs>
                <w:tab w:val="left" w:pos="993"/>
              </w:tabs>
              <w:spacing w:after="0" w:line="240" w:lineRule="auto"/>
              <w:rPr>
                <w:rFonts w:ascii="Arial" w:hAnsi="Arial" w:cs="Arial"/>
                <w:sz w:val="20"/>
                <w:szCs w:val="20"/>
              </w:rPr>
            </w:pPr>
            <w:r w:rsidRPr="00A90FCD">
              <w:rPr>
                <w:rFonts w:ascii="Arial" w:hAnsi="Arial" w:cs="Arial"/>
                <w:sz w:val="20"/>
                <w:szCs w:val="20"/>
              </w:rPr>
              <w:t xml:space="preserve">Interleukin-6 </w:t>
            </w:r>
            <w:r>
              <w:rPr>
                <w:rFonts w:ascii="Arial" w:hAnsi="Arial" w:cs="Arial"/>
                <w:sz w:val="20"/>
                <w:szCs w:val="20"/>
              </w:rPr>
              <w:t>assessed 5-y before baseline</w:t>
            </w:r>
          </w:p>
        </w:tc>
        <w:tc>
          <w:tcPr>
            <w:tcW w:w="236" w:type="dxa"/>
            <w:vAlign w:val="center"/>
          </w:tcPr>
          <w:p w:rsidR="00DA355E" w:rsidRPr="00A90FCD" w:rsidRDefault="00DA355E" w:rsidP="00896A55">
            <w:pPr>
              <w:tabs>
                <w:tab w:val="left" w:pos="993"/>
              </w:tabs>
              <w:spacing w:after="0" w:line="240" w:lineRule="auto"/>
              <w:jc w:val="center"/>
              <w:rPr>
                <w:rFonts w:ascii="Arial" w:hAnsi="Arial" w:cs="Arial"/>
                <w:i/>
                <w:sz w:val="20"/>
                <w:szCs w:val="20"/>
              </w:rPr>
            </w:pPr>
          </w:p>
        </w:tc>
        <w:tc>
          <w:tcPr>
            <w:tcW w:w="834" w:type="dxa"/>
            <w:vAlign w:val="center"/>
          </w:tcPr>
          <w:p w:rsidR="00DA355E" w:rsidRPr="00A90FCD" w:rsidRDefault="00DA355E" w:rsidP="00896A55">
            <w:pPr>
              <w:tabs>
                <w:tab w:val="left" w:pos="993"/>
              </w:tabs>
              <w:spacing w:after="0" w:line="240" w:lineRule="auto"/>
              <w:jc w:val="center"/>
              <w:rPr>
                <w:rFonts w:ascii="Arial" w:hAnsi="Arial" w:cs="Arial"/>
                <w:sz w:val="20"/>
                <w:szCs w:val="20"/>
              </w:rPr>
            </w:pPr>
          </w:p>
        </w:tc>
        <w:tc>
          <w:tcPr>
            <w:tcW w:w="1417" w:type="dxa"/>
            <w:vAlign w:val="center"/>
          </w:tcPr>
          <w:p w:rsidR="00DA355E" w:rsidRPr="00A90FCD" w:rsidRDefault="00DA355E" w:rsidP="00896A55">
            <w:pPr>
              <w:tabs>
                <w:tab w:val="left" w:pos="993"/>
              </w:tabs>
              <w:spacing w:after="0" w:line="240" w:lineRule="auto"/>
              <w:jc w:val="center"/>
              <w:rPr>
                <w:rFonts w:ascii="Arial" w:hAnsi="Arial" w:cs="Arial"/>
                <w:sz w:val="20"/>
                <w:szCs w:val="20"/>
              </w:rPr>
            </w:pPr>
          </w:p>
        </w:tc>
        <w:tc>
          <w:tcPr>
            <w:tcW w:w="851" w:type="dxa"/>
            <w:vAlign w:val="center"/>
          </w:tcPr>
          <w:p w:rsidR="00DA355E" w:rsidRPr="00A90FCD" w:rsidRDefault="00DA355E" w:rsidP="00896A55">
            <w:pPr>
              <w:tabs>
                <w:tab w:val="left" w:pos="993"/>
              </w:tabs>
              <w:spacing w:after="0" w:line="240" w:lineRule="auto"/>
              <w:jc w:val="center"/>
              <w:rPr>
                <w:rFonts w:ascii="Arial" w:hAnsi="Arial" w:cs="Arial"/>
                <w:sz w:val="20"/>
                <w:szCs w:val="20"/>
              </w:rPr>
            </w:pPr>
          </w:p>
        </w:tc>
        <w:tc>
          <w:tcPr>
            <w:tcW w:w="283" w:type="dxa"/>
            <w:vAlign w:val="center"/>
          </w:tcPr>
          <w:p w:rsidR="00DA355E" w:rsidRPr="00A90FCD" w:rsidRDefault="00DA355E" w:rsidP="00896A55">
            <w:pPr>
              <w:tabs>
                <w:tab w:val="left" w:pos="993"/>
              </w:tabs>
              <w:spacing w:after="0" w:line="240" w:lineRule="auto"/>
              <w:jc w:val="center"/>
              <w:rPr>
                <w:rFonts w:ascii="Arial" w:hAnsi="Arial" w:cs="Arial"/>
                <w:i/>
                <w:sz w:val="20"/>
                <w:szCs w:val="20"/>
              </w:rPr>
            </w:pPr>
          </w:p>
        </w:tc>
        <w:tc>
          <w:tcPr>
            <w:tcW w:w="851" w:type="dxa"/>
            <w:vAlign w:val="center"/>
          </w:tcPr>
          <w:p w:rsidR="00DA355E" w:rsidRPr="00A90FCD" w:rsidRDefault="00DA355E" w:rsidP="00896A55">
            <w:pPr>
              <w:tabs>
                <w:tab w:val="left" w:pos="993"/>
              </w:tabs>
              <w:spacing w:after="0" w:line="240" w:lineRule="auto"/>
              <w:jc w:val="center"/>
              <w:rPr>
                <w:rFonts w:ascii="Arial" w:hAnsi="Arial" w:cs="Arial"/>
                <w:sz w:val="20"/>
                <w:szCs w:val="20"/>
              </w:rPr>
            </w:pPr>
          </w:p>
        </w:tc>
        <w:tc>
          <w:tcPr>
            <w:tcW w:w="1417" w:type="dxa"/>
            <w:vAlign w:val="center"/>
          </w:tcPr>
          <w:p w:rsidR="00DA355E" w:rsidRPr="00A90FCD" w:rsidRDefault="00DA355E" w:rsidP="00896A55">
            <w:pPr>
              <w:tabs>
                <w:tab w:val="left" w:pos="993"/>
              </w:tabs>
              <w:spacing w:after="0" w:line="240" w:lineRule="auto"/>
              <w:jc w:val="center"/>
              <w:rPr>
                <w:rFonts w:ascii="Arial" w:hAnsi="Arial" w:cs="Arial"/>
                <w:sz w:val="20"/>
                <w:szCs w:val="20"/>
              </w:rPr>
            </w:pPr>
          </w:p>
        </w:tc>
        <w:tc>
          <w:tcPr>
            <w:tcW w:w="851" w:type="dxa"/>
            <w:vAlign w:val="center"/>
          </w:tcPr>
          <w:p w:rsidR="00DA355E" w:rsidRPr="00A90FCD" w:rsidRDefault="00DA355E" w:rsidP="00896A55">
            <w:pPr>
              <w:tabs>
                <w:tab w:val="left" w:pos="993"/>
              </w:tabs>
              <w:spacing w:after="0" w:line="240" w:lineRule="auto"/>
              <w:jc w:val="center"/>
              <w:rPr>
                <w:rFonts w:ascii="Arial" w:hAnsi="Arial" w:cs="Arial"/>
                <w:sz w:val="20"/>
                <w:szCs w:val="20"/>
              </w:rPr>
            </w:pPr>
          </w:p>
        </w:tc>
      </w:tr>
      <w:tr w:rsidR="00A90FCD" w:rsidRPr="00A90FCD" w:rsidTr="00896A55">
        <w:trPr>
          <w:trHeight w:val="249"/>
        </w:trPr>
        <w:tc>
          <w:tcPr>
            <w:tcW w:w="3369"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Low</w:t>
            </w: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w:t>
            </w:r>
          </w:p>
        </w:tc>
        <w:tc>
          <w:tcPr>
            <w:tcW w:w="1276" w:type="dxa"/>
            <w:vAlign w:val="center"/>
          </w:tcPr>
          <w:p w:rsidR="005D5DF3" w:rsidRPr="00A90FCD" w:rsidRDefault="00A90FCD"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Ref</w:t>
            </w: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Ref</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w:t>
            </w:r>
          </w:p>
        </w:tc>
        <w:tc>
          <w:tcPr>
            <w:tcW w:w="1417" w:type="dxa"/>
            <w:vAlign w:val="center"/>
          </w:tcPr>
          <w:p w:rsidR="005D5DF3" w:rsidRPr="00A90FCD" w:rsidRDefault="00A90FCD"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Ref</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44"/>
        </w:trPr>
        <w:tc>
          <w:tcPr>
            <w:tcW w:w="3369" w:type="dxa"/>
            <w:vAlign w:val="center"/>
          </w:tcPr>
          <w:p w:rsidR="005D5DF3" w:rsidRPr="00A90FCD" w:rsidRDefault="005D5DF3">
            <w:pPr>
              <w:tabs>
                <w:tab w:val="left" w:pos="993"/>
              </w:tabs>
              <w:spacing w:after="0" w:line="240" w:lineRule="auto"/>
              <w:jc w:val="center"/>
              <w:rPr>
                <w:rFonts w:ascii="Arial" w:hAnsi="Arial" w:cs="Arial"/>
                <w:sz w:val="20"/>
                <w:szCs w:val="20"/>
              </w:rPr>
            </w:pPr>
            <w:r w:rsidRPr="00A90FCD">
              <w:rPr>
                <w:rFonts w:ascii="Arial" w:hAnsi="Arial" w:cs="Arial"/>
                <w:sz w:val="20"/>
                <w:szCs w:val="20"/>
              </w:rPr>
              <w:t>Intermediate.</w:t>
            </w: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0.67</w:t>
            </w:r>
          </w:p>
        </w:tc>
        <w:tc>
          <w:tcPr>
            <w:tcW w:w="1276"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0.55-0.83</w:t>
            </w: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1.39</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0.98-1.97</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1.62</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0.91-3.06</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63"/>
        </w:trPr>
        <w:tc>
          <w:tcPr>
            <w:tcW w:w="3369"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High</w:t>
            </w: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0.65</w:t>
            </w:r>
          </w:p>
        </w:tc>
        <w:tc>
          <w:tcPr>
            <w:tcW w:w="1276"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0.49-0.85</w:t>
            </w: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1.73</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1.16-2.58</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1.67</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0.95-2.79</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63"/>
        </w:trPr>
        <w:tc>
          <w:tcPr>
            <w:tcW w:w="3369" w:type="dxa"/>
            <w:vAlign w:val="center"/>
          </w:tcPr>
          <w:p w:rsidR="005D5DF3" w:rsidRPr="00A90FCD" w:rsidRDefault="005D5DF3" w:rsidP="00DA355E">
            <w:pPr>
              <w:tabs>
                <w:tab w:val="left" w:pos="993"/>
              </w:tabs>
              <w:spacing w:after="0" w:line="240" w:lineRule="auto"/>
              <w:rPr>
                <w:rFonts w:ascii="Arial" w:hAnsi="Arial" w:cs="Arial"/>
                <w:sz w:val="20"/>
                <w:szCs w:val="20"/>
              </w:rPr>
            </w:pPr>
            <w:r w:rsidRPr="00A90FCD">
              <w:rPr>
                <w:rFonts w:ascii="Arial" w:hAnsi="Arial" w:cs="Arial"/>
                <w:sz w:val="20"/>
                <w:szCs w:val="20"/>
              </w:rPr>
              <w:t xml:space="preserve">Interleukin-6 </w:t>
            </w:r>
            <w:r w:rsidR="00DA355E">
              <w:rPr>
                <w:rFonts w:ascii="Arial" w:hAnsi="Arial" w:cs="Arial"/>
                <w:sz w:val="20"/>
                <w:szCs w:val="20"/>
              </w:rPr>
              <w:t>assessed at baseline</w:t>
            </w: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1276"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63"/>
        </w:trPr>
        <w:tc>
          <w:tcPr>
            <w:tcW w:w="3369"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Low</w:t>
            </w: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w:t>
            </w:r>
          </w:p>
        </w:tc>
        <w:tc>
          <w:tcPr>
            <w:tcW w:w="1276" w:type="dxa"/>
            <w:vAlign w:val="center"/>
          </w:tcPr>
          <w:p w:rsidR="005D5DF3" w:rsidRPr="00A90FCD" w:rsidRDefault="00A90FCD"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Ref</w:t>
            </w: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Ref</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w:t>
            </w:r>
          </w:p>
        </w:tc>
        <w:tc>
          <w:tcPr>
            <w:tcW w:w="1417" w:type="dxa"/>
            <w:vAlign w:val="center"/>
          </w:tcPr>
          <w:p w:rsidR="005D5DF3" w:rsidRPr="00A90FCD" w:rsidRDefault="00A90FCD"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Ref</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63"/>
        </w:trPr>
        <w:tc>
          <w:tcPr>
            <w:tcW w:w="3369" w:type="dxa"/>
            <w:vAlign w:val="center"/>
          </w:tcPr>
          <w:p w:rsidR="005D5DF3" w:rsidRPr="00A90FCD" w:rsidRDefault="005D5DF3">
            <w:pPr>
              <w:tabs>
                <w:tab w:val="left" w:pos="993"/>
              </w:tabs>
              <w:spacing w:after="0" w:line="240" w:lineRule="auto"/>
              <w:jc w:val="center"/>
              <w:rPr>
                <w:rFonts w:ascii="Arial" w:hAnsi="Arial" w:cs="Arial"/>
                <w:sz w:val="20"/>
                <w:szCs w:val="20"/>
              </w:rPr>
            </w:pPr>
            <w:r w:rsidRPr="00A90FCD">
              <w:rPr>
                <w:rFonts w:ascii="Arial" w:hAnsi="Arial" w:cs="Arial"/>
                <w:sz w:val="20"/>
                <w:szCs w:val="20"/>
              </w:rPr>
              <w:t>Intermediate</w:t>
            </w: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0.79</w:t>
            </w:r>
          </w:p>
        </w:tc>
        <w:tc>
          <w:tcPr>
            <w:tcW w:w="1276"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0.64-0.97</w:t>
            </w: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i/>
                <w:sz w:val="20"/>
                <w:szCs w:val="20"/>
              </w:rPr>
              <w:t>1.28</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0.90-1.81</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1.18</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0.67-2.05</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63"/>
        </w:trPr>
        <w:tc>
          <w:tcPr>
            <w:tcW w:w="3369"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High</w:t>
            </w: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0.53</w:t>
            </w:r>
          </w:p>
        </w:tc>
        <w:tc>
          <w:tcPr>
            <w:tcW w:w="1276"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0.41-0.71</w:t>
            </w: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1.46</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0.98-2.17</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2.24</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1.26-3.98</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63"/>
        </w:trPr>
        <w:tc>
          <w:tcPr>
            <w:tcW w:w="3369"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1276"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r>
      <w:tr w:rsidR="00A90FCD" w:rsidRPr="00A90FCD" w:rsidTr="00896A55">
        <w:trPr>
          <w:trHeight w:val="263"/>
        </w:trPr>
        <w:tc>
          <w:tcPr>
            <w:tcW w:w="3369" w:type="dxa"/>
            <w:vMerge w:val="restart"/>
            <w:vAlign w:val="center"/>
          </w:tcPr>
          <w:p w:rsidR="005D5DF3" w:rsidRPr="00A90FCD" w:rsidRDefault="005D5DF3" w:rsidP="00F17232">
            <w:pPr>
              <w:tabs>
                <w:tab w:val="left" w:pos="993"/>
              </w:tabs>
              <w:spacing w:after="0" w:line="240" w:lineRule="auto"/>
              <w:rPr>
                <w:rFonts w:ascii="Arial" w:hAnsi="Arial" w:cs="Arial"/>
                <w:b/>
                <w:sz w:val="20"/>
                <w:szCs w:val="20"/>
              </w:rPr>
            </w:pPr>
            <w:r w:rsidRPr="00A90FCD">
              <w:rPr>
                <w:rFonts w:ascii="Arial" w:hAnsi="Arial" w:cs="Arial"/>
                <w:b/>
                <w:sz w:val="20"/>
                <w:szCs w:val="20"/>
              </w:rPr>
              <w:t xml:space="preserve">Net Reclassification Improvement </w:t>
            </w:r>
            <w:r w:rsidR="00F17232">
              <w:rPr>
                <w:rFonts w:ascii="Arial" w:hAnsi="Arial" w:cs="Arial"/>
                <w:b/>
                <w:sz w:val="20"/>
                <w:szCs w:val="20"/>
              </w:rPr>
              <w:t xml:space="preserve">(NRI) </w:t>
            </w:r>
            <w:r w:rsidRPr="00A90FCD">
              <w:rPr>
                <w:rFonts w:ascii="Arial" w:hAnsi="Arial" w:cs="Arial"/>
                <w:b/>
                <w:sz w:val="20"/>
                <w:szCs w:val="20"/>
              </w:rPr>
              <w:t>between Model 1 and Model 2*</w:t>
            </w: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F17232">
            <w:pPr>
              <w:tabs>
                <w:tab w:val="left" w:pos="993"/>
              </w:tabs>
              <w:spacing w:after="0" w:line="240" w:lineRule="auto"/>
              <w:jc w:val="center"/>
              <w:rPr>
                <w:rFonts w:ascii="Arial" w:hAnsi="Arial" w:cs="Arial"/>
                <w:sz w:val="20"/>
                <w:szCs w:val="20"/>
              </w:rPr>
            </w:pPr>
            <w:r w:rsidRPr="00A90FCD">
              <w:rPr>
                <w:rFonts w:ascii="Arial" w:hAnsi="Arial" w:cs="Arial"/>
                <w:sz w:val="20"/>
                <w:szCs w:val="20"/>
              </w:rPr>
              <w:t>NRI</w:t>
            </w:r>
            <w:r w:rsidR="00F17232">
              <w:rPr>
                <w:rFonts w:ascii="Arial" w:hAnsi="Arial" w:cs="Arial"/>
                <w:sz w:val="20"/>
                <w:szCs w:val="20"/>
              </w:rPr>
              <w:t xml:space="preserve"> </w:t>
            </w:r>
            <w:r w:rsidRPr="00A90FCD">
              <w:rPr>
                <w:rFonts w:ascii="Arial" w:hAnsi="Arial" w:cs="Arial"/>
                <w:sz w:val="20"/>
                <w:szCs w:val="20"/>
              </w:rPr>
              <w:t xml:space="preserve"> </w:t>
            </w:r>
          </w:p>
        </w:tc>
        <w:tc>
          <w:tcPr>
            <w:tcW w:w="1276"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Standard Error</w:t>
            </w: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p</w:t>
            </w: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NRI†</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Standard Error</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p</w:t>
            </w: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NRI†</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Standard Error</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p</w:t>
            </w:r>
          </w:p>
        </w:tc>
      </w:tr>
      <w:tr w:rsidR="00A90FCD" w:rsidRPr="00A90FCD" w:rsidTr="00896A55">
        <w:trPr>
          <w:trHeight w:val="263"/>
        </w:trPr>
        <w:tc>
          <w:tcPr>
            <w:tcW w:w="3369" w:type="dxa"/>
            <w:vMerge/>
            <w:vAlign w:val="center"/>
          </w:tcPr>
          <w:p w:rsidR="005D5DF3" w:rsidRPr="00A90FCD" w:rsidRDefault="005D5DF3" w:rsidP="00896A55">
            <w:pPr>
              <w:tabs>
                <w:tab w:val="left" w:pos="993"/>
              </w:tabs>
              <w:spacing w:after="0" w:line="240" w:lineRule="auto"/>
              <w:jc w:val="center"/>
              <w:rPr>
                <w:rFonts w:ascii="Arial" w:hAnsi="Arial" w:cs="Arial"/>
                <w:sz w:val="20"/>
                <w:szCs w:val="20"/>
              </w:rPr>
            </w:pP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992"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0.236</w:t>
            </w:r>
          </w:p>
        </w:tc>
        <w:tc>
          <w:tcPr>
            <w:tcW w:w="1276"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0.040</w:t>
            </w:r>
          </w:p>
        </w:tc>
        <w:tc>
          <w:tcPr>
            <w:tcW w:w="915"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&lt;.001</w:t>
            </w:r>
          </w:p>
        </w:tc>
        <w:tc>
          <w:tcPr>
            <w:tcW w:w="236"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34"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0.154</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0.058</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0.009</w:t>
            </w:r>
          </w:p>
        </w:tc>
        <w:tc>
          <w:tcPr>
            <w:tcW w:w="283" w:type="dxa"/>
            <w:vAlign w:val="center"/>
          </w:tcPr>
          <w:p w:rsidR="005D5DF3" w:rsidRPr="00A90FCD" w:rsidRDefault="005D5DF3" w:rsidP="00896A55">
            <w:pPr>
              <w:tabs>
                <w:tab w:val="left" w:pos="993"/>
              </w:tabs>
              <w:spacing w:after="0" w:line="240" w:lineRule="auto"/>
              <w:jc w:val="center"/>
              <w:rPr>
                <w:rFonts w:ascii="Arial" w:hAnsi="Arial" w:cs="Arial"/>
                <w:i/>
                <w:sz w:val="20"/>
                <w:szCs w:val="20"/>
              </w:rPr>
            </w:pP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0.221</w:t>
            </w:r>
          </w:p>
        </w:tc>
        <w:tc>
          <w:tcPr>
            <w:tcW w:w="1417"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0.062</w:t>
            </w:r>
          </w:p>
        </w:tc>
        <w:tc>
          <w:tcPr>
            <w:tcW w:w="851" w:type="dxa"/>
            <w:vAlign w:val="center"/>
          </w:tcPr>
          <w:p w:rsidR="005D5DF3" w:rsidRPr="00A90FCD" w:rsidRDefault="005D5DF3" w:rsidP="00896A55">
            <w:pPr>
              <w:tabs>
                <w:tab w:val="left" w:pos="993"/>
              </w:tabs>
              <w:spacing w:after="0" w:line="240" w:lineRule="auto"/>
              <w:jc w:val="center"/>
              <w:rPr>
                <w:rFonts w:ascii="Arial" w:hAnsi="Arial" w:cs="Arial"/>
                <w:sz w:val="20"/>
                <w:szCs w:val="20"/>
              </w:rPr>
            </w:pPr>
            <w:r w:rsidRPr="00A90FCD">
              <w:rPr>
                <w:rFonts w:ascii="Arial" w:hAnsi="Arial" w:cs="Arial"/>
                <w:sz w:val="20"/>
                <w:szCs w:val="20"/>
              </w:rPr>
              <w:t>0.009</w:t>
            </w:r>
          </w:p>
        </w:tc>
      </w:tr>
    </w:tbl>
    <w:p w:rsidR="005D5DF3" w:rsidRPr="00A90FCD" w:rsidRDefault="005D5DF3" w:rsidP="00896A55">
      <w:pPr>
        <w:spacing w:after="0" w:line="240" w:lineRule="auto"/>
        <w:rPr>
          <w:rFonts w:ascii="Arial" w:hAnsi="Arial" w:cs="Arial"/>
          <w:sz w:val="20"/>
          <w:szCs w:val="20"/>
        </w:rPr>
      </w:pPr>
    </w:p>
    <w:p w:rsidR="005D5DF3" w:rsidRPr="00A90FCD" w:rsidRDefault="005D5DF3" w:rsidP="00896A55">
      <w:pPr>
        <w:tabs>
          <w:tab w:val="left" w:pos="993"/>
        </w:tabs>
        <w:spacing w:after="0" w:line="240" w:lineRule="auto"/>
        <w:rPr>
          <w:rFonts w:ascii="Arial" w:hAnsi="Arial" w:cs="Arial"/>
          <w:sz w:val="18"/>
          <w:szCs w:val="20"/>
        </w:rPr>
      </w:pPr>
      <w:r w:rsidRPr="00A90FCD">
        <w:rPr>
          <w:rFonts w:ascii="Arial" w:hAnsi="Arial" w:cs="Arial"/>
          <w:sz w:val="18"/>
          <w:szCs w:val="20"/>
        </w:rPr>
        <w:t xml:space="preserve">Analyses assessed the associations of inflammation with: </w:t>
      </w:r>
    </w:p>
    <w:p w:rsidR="005D5DF3" w:rsidRPr="00A90FCD" w:rsidRDefault="005D5DF3" w:rsidP="00896A55">
      <w:pPr>
        <w:tabs>
          <w:tab w:val="left" w:pos="993"/>
        </w:tabs>
        <w:spacing w:after="0" w:line="240" w:lineRule="auto"/>
        <w:rPr>
          <w:rFonts w:ascii="Arial" w:hAnsi="Arial" w:cs="Arial"/>
          <w:sz w:val="18"/>
          <w:szCs w:val="20"/>
        </w:rPr>
      </w:pPr>
      <w:r w:rsidRPr="00A90FCD">
        <w:rPr>
          <w:rFonts w:ascii="Arial" w:hAnsi="Arial" w:cs="Arial"/>
          <w:sz w:val="18"/>
          <w:szCs w:val="20"/>
        </w:rPr>
        <w:t xml:space="preserve">(1) </w:t>
      </w:r>
      <w:proofErr w:type="gramStart"/>
      <w:r w:rsidRPr="00A90FCD">
        <w:rPr>
          <w:rFonts w:ascii="Arial" w:hAnsi="Arial" w:cs="Arial"/>
          <w:sz w:val="18"/>
          <w:szCs w:val="20"/>
        </w:rPr>
        <w:t>successful</w:t>
      </w:r>
      <w:proofErr w:type="gramEnd"/>
      <w:r w:rsidRPr="00A90FCD">
        <w:rPr>
          <w:rFonts w:ascii="Arial" w:hAnsi="Arial" w:cs="Arial"/>
          <w:sz w:val="18"/>
          <w:szCs w:val="20"/>
        </w:rPr>
        <w:t xml:space="preserve"> aging (non-cases: normal aging phenotype, cardiovascular disease events and non-cardiovascular deaths combined), total n=3044</w:t>
      </w:r>
    </w:p>
    <w:p w:rsidR="005D5DF3" w:rsidRPr="00A90FCD" w:rsidRDefault="005D5DF3" w:rsidP="00896A55">
      <w:pPr>
        <w:tabs>
          <w:tab w:val="left" w:pos="993"/>
        </w:tabs>
        <w:spacing w:after="0" w:line="240" w:lineRule="auto"/>
        <w:rPr>
          <w:rFonts w:ascii="Arial" w:hAnsi="Arial" w:cs="Arial"/>
          <w:sz w:val="18"/>
          <w:szCs w:val="20"/>
        </w:rPr>
      </w:pPr>
      <w:r w:rsidRPr="00A90FCD">
        <w:rPr>
          <w:rFonts w:ascii="Arial" w:hAnsi="Arial" w:cs="Arial"/>
          <w:sz w:val="18"/>
          <w:szCs w:val="20"/>
        </w:rPr>
        <w:t xml:space="preserve">(2) </w:t>
      </w:r>
      <w:proofErr w:type="gramStart"/>
      <w:r w:rsidRPr="00A90FCD">
        <w:rPr>
          <w:rFonts w:ascii="Arial" w:hAnsi="Arial" w:cs="Arial"/>
          <w:sz w:val="18"/>
          <w:szCs w:val="20"/>
        </w:rPr>
        <w:t>cardiovascular</w:t>
      </w:r>
      <w:proofErr w:type="gramEnd"/>
      <w:r w:rsidRPr="00A90FCD">
        <w:rPr>
          <w:rFonts w:ascii="Arial" w:hAnsi="Arial" w:cs="Arial"/>
          <w:sz w:val="18"/>
          <w:szCs w:val="20"/>
        </w:rPr>
        <w:t xml:space="preserve"> disease event (non-cases: successful and normal aging phenotypes combined), total n=2897. The 147 participants with non-cardiovascular death were excluded.</w:t>
      </w:r>
    </w:p>
    <w:p w:rsidR="005D5DF3" w:rsidRPr="00A90FCD" w:rsidRDefault="005D5DF3" w:rsidP="00896A55">
      <w:pPr>
        <w:tabs>
          <w:tab w:val="left" w:pos="993"/>
        </w:tabs>
        <w:spacing w:after="0" w:line="240" w:lineRule="auto"/>
        <w:rPr>
          <w:rFonts w:ascii="Arial" w:hAnsi="Arial" w:cs="Arial"/>
          <w:sz w:val="18"/>
          <w:szCs w:val="20"/>
        </w:rPr>
      </w:pPr>
      <w:r w:rsidRPr="00A90FCD">
        <w:rPr>
          <w:rFonts w:ascii="Arial" w:hAnsi="Arial" w:cs="Arial"/>
          <w:sz w:val="18"/>
          <w:szCs w:val="20"/>
        </w:rPr>
        <w:t>(3) Non-cardiovascular death (non-cases: successful and normal aging phenotypes combined), total n=2723. The 321 participants with a cardiovascular disease event were excluded.</w:t>
      </w:r>
    </w:p>
    <w:p w:rsidR="005D5DF3" w:rsidRPr="00A90FCD" w:rsidRDefault="005D5DF3" w:rsidP="00896A55">
      <w:pPr>
        <w:spacing w:after="0" w:line="240" w:lineRule="auto"/>
        <w:rPr>
          <w:rFonts w:ascii="Arial" w:hAnsi="Arial" w:cs="Arial"/>
          <w:sz w:val="18"/>
          <w:szCs w:val="20"/>
          <w:lang w:val="en-US"/>
        </w:rPr>
      </w:pPr>
      <w:r w:rsidRPr="00A90FCD">
        <w:rPr>
          <w:rFonts w:ascii="Arial" w:hAnsi="Arial" w:cs="Arial"/>
          <w:sz w:val="18"/>
          <w:szCs w:val="20"/>
        </w:rPr>
        <w:t xml:space="preserve">Results from logistic regression adjusted for sex, age, </w:t>
      </w:r>
      <w:r w:rsidRPr="00A90FCD">
        <w:rPr>
          <w:rFonts w:ascii="Arial" w:hAnsi="Arial" w:cs="Arial"/>
          <w:sz w:val="18"/>
          <w:szCs w:val="20"/>
          <w:lang w:val="en-US"/>
        </w:rPr>
        <w:t>socio-economic status, smoking status, physical activity, acute inflammation and use of anti-inflammatory drugs</w:t>
      </w:r>
    </w:p>
    <w:p w:rsidR="005D5DF3" w:rsidRPr="00A90FCD" w:rsidRDefault="00F17232" w:rsidP="00896A55">
      <w:pPr>
        <w:spacing w:after="0" w:line="240" w:lineRule="auto"/>
        <w:rPr>
          <w:rFonts w:ascii="Arial" w:hAnsi="Arial" w:cs="Arial"/>
          <w:sz w:val="18"/>
          <w:szCs w:val="20"/>
        </w:rPr>
      </w:pPr>
      <w:r>
        <w:rPr>
          <w:rFonts w:ascii="Arial" w:hAnsi="Arial" w:cs="Arial"/>
          <w:sz w:val="18"/>
          <w:szCs w:val="20"/>
        </w:rPr>
        <w:t>*</w:t>
      </w:r>
      <w:r w:rsidR="00B7654E">
        <w:rPr>
          <w:rFonts w:ascii="Arial" w:hAnsi="Arial" w:cs="Arial"/>
          <w:sz w:val="18"/>
          <w:szCs w:val="20"/>
        </w:rPr>
        <w:t xml:space="preserve"> </w:t>
      </w:r>
      <w:r w:rsidR="005D5DF3" w:rsidRPr="00A90FCD">
        <w:rPr>
          <w:rFonts w:ascii="Arial" w:hAnsi="Arial" w:cs="Arial"/>
          <w:sz w:val="18"/>
          <w:szCs w:val="20"/>
        </w:rPr>
        <w:t>NRI, Net reclassification improvement index. Calculation of the NRI statistics</w:t>
      </w:r>
      <w:r w:rsidR="00B7654E">
        <w:rPr>
          <w:rFonts w:ascii="Arial" w:hAnsi="Arial" w:cs="Arial"/>
          <w:sz w:val="18"/>
          <w:szCs w:val="20"/>
        </w:rPr>
        <w:t xml:space="preserve"> </w:t>
      </w:r>
      <w:r w:rsidR="005D5DF3" w:rsidRPr="00A90FCD">
        <w:rPr>
          <w:rFonts w:ascii="Arial" w:hAnsi="Arial" w:cs="Arial"/>
          <w:noProof/>
          <w:sz w:val="18"/>
          <w:szCs w:val="20"/>
        </w:rPr>
        <w:t>[</w:t>
      </w:r>
      <w:r w:rsidR="00B7654E">
        <w:rPr>
          <w:rFonts w:ascii="Arial" w:hAnsi="Arial" w:cs="Arial"/>
          <w:noProof/>
          <w:sz w:val="18"/>
          <w:szCs w:val="20"/>
        </w:rPr>
        <w:t>1</w:t>
      </w:r>
      <w:r w:rsidR="005D5DF3" w:rsidRPr="00A90FCD">
        <w:rPr>
          <w:rFonts w:ascii="Arial" w:hAnsi="Arial" w:cs="Arial"/>
          <w:noProof/>
          <w:sz w:val="18"/>
          <w:szCs w:val="20"/>
        </w:rPr>
        <w:t xml:space="preserve">, </w:t>
      </w:r>
      <w:r w:rsidR="00B7654E">
        <w:rPr>
          <w:rFonts w:ascii="Arial" w:hAnsi="Arial" w:cs="Arial"/>
          <w:noProof/>
          <w:sz w:val="18"/>
          <w:szCs w:val="20"/>
        </w:rPr>
        <w:t>2</w:t>
      </w:r>
      <w:r w:rsidR="005D5DF3" w:rsidRPr="00A90FCD">
        <w:rPr>
          <w:rFonts w:ascii="Arial" w:hAnsi="Arial" w:cs="Arial"/>
          <w:noProof/>
          <w:sz w:val="18"/>
          <w:szCs w:val="20"/>
        </w:rPr>
        <w:t>]</w:t>
      </w:r>
      <w:r w:rsidR="005D5DF3" w:rsidRPr="00A90FCD">
        <w:rPr>
          <w:rFonts w:ascii="Arial" w:hAnsi="Arial" w:cs="Arial"/>
          <w:sz w:val="18"/>
          <w:szCs w:val="20"/>
        </w:rPr>
        <w:t xml:space="preserve"> provides with</w:t>
      </w:r>
      <w:r w:rsidR="005D5DF3" w:rsidRPr="00A90FCD">
        <w:rPr>
          <w:rFonts w:ascii="Arial" w:hAnsi="Arial" w:cs="Arial"/>
          <w:sz w:val="18"/>
          <w:szCs w:val="20"/>
          <w:lang w:val="en-US"/>
        </w:rPr>
        <w:t xml:space="preserve"> the difference in predictive ability when inflammation was assessed using 2 </w:t>
      </w:r>
      <w:r w:rsidR="00B7654E" w:rsidRPr="00A90FCD">
        <w:rPr>
          <w:rFonts w:ascii="Arial" w:hAnsi="Arial" w:cs="Arial"/>
          <w:b/>
          <w:sz w:val="20"/>
          <w:szCs w:val="20"/>
        </w:rPr>
        <w:t xml:space="preserve">Interleukin-6 </w:t>
      </w:r>
      <w:r w:rsidR="005D5DF3" w:rsidRPr="00343374">
        <w:rPr>
          <w:rFonts w:ascii="Arial" w:hAnsi="Arial" w:cs="Arial"/>
          <w:color w:val="FF0000"/>
          <w:sz w:val="18"/>
          <w:szCs w:val="20"/>
          <w:lang w:val="en-US"/>
        </w:rPr>
        <w:t>measure</w:t>
      </w:r>
      <w:r>
        <w:rPr>
          <w:rFonts w:ascii="Arial" w:hAnsi="Arial" w:cs="Arial"/>
          <w:color w:val="FF0000"/>
          <w:sz w:val="18"/>
          <w:szCs w:val="20"/>
          <w:lang w:val="en-US"/>
        </w:rPr>
        <w:t>ments</w:t>
      </w:r>
      <w:r w:rsidR="005D5DF3" w:rsidRPr="00343374">
        <w:rPr>
          <w:rFonts w:ascii="Arial" w:hAnsi="Arial" w:cs="Arial"/>
          <w:color w:val="FF0000"/>
          <w:sz w:val="18"/>
          <w:szCs w:val="20"/>
          <w:lang w:val="en-US"/>
        </w:rPr>
        <w:t xml:space="preserve"> (</w:t>
      </w:r>
      <w:r w:rsidR="00DA355E" w:rsidRPr="00343374">
        <w:rPr>
          <w:rFonts w:ascii="Arial" w:hAnsi="Arial" w:cs="Arial"/>
          <w:color w:val="FF0000"/>
          <w:sz w:val="18"/>
          <w:szCs w:val="20"/>
          <w:lang w:val="en-US"/>
        </w:rPr>
        <w:t xml:space="preserve">both 5-y before baseline and at baseline) </w:t>
      </w:r>
      <w:r w:rsidR="005D5DF3" w:rsidRPr="00343374">
        <w:rPr>
          <w:rFonts w:ascii="Arial" w:hAnsi="Arial" w:cs="Arial"/>
          <w:color w:val="FF0000"/>
          <w:sz w:val="18"/>
          <w:szCs w:val="20"/>
          <w:lang w:val="en-US"/>
        </w:rPr>
        <w:t xml:space="preserve">versus one </w:t>
      </w:r>
      <w:r w:rsidR="00B7654E" w:rsidRPr="00A90FCD">
        <w:rPr>
          <w:rFonts w:ascii="Arial" w:hAnsi="Arial" w:cs="Arial"/>
          <w:b/>
          <w:sz w:val="20"/>
          <w:szCs w:val="20"/>
        </w:rPr>
        <w:t xml:space="preserve">Interleukin-6 </w:t>
      </w:r>
      <w:r w:rsidRPr="00343374">
        <w:rPr>
          <w:rFonts w:ascii="Arial" w:hAnsi="Arial" w:cs="Arial"/>
          <w:color w:val="FF0000"/>
          <w:sz w:val="18"/>
          <w:szCs w:val="20"/>
          <w:lang w:val="en-US"/>
        </w:rPr>
        <w:t>measure</w:t>
      </w:r>
      <w:r>
        <w:rPr>
          <w:rFonts w:ascii="Arial" w:hAnsi="Arial" w:cs="Arial"/>
          <w:color w:val="FF0000"/>
          <w:sz w:val="18"/>
          <w:szCs w:val="20"/>
          <w:lang w:val="en-US"/>
        </w:rPr>
        <w:t>ment</w:t>
      </w:r>
      <w:r w:rsidR="005D5DF3" w:rsidRPr="00343374">
        <w:rPr>
          <w:rFonts w:ascii="Arial" w:hAnsi="Arial" w:cs="Arial"/>
          <w:color w:val="FF0000"/>
          <w:sz w:val="18"/>
          <w:szCs w:val="20"/>
          <w:lang w:val="en-US"/>
        </w:rPr>
        <w:t xml:space="preserve"> (</w:t>
      </w:r>
      <w:r>
        <w:rPr>
          <w:rFonts w:ascii="Arial" w:hAnsi="Arial" w:cs="Arial"/>
          <w:color w:val="FF0000"/>
          <w:sz w:val="18"/>
          <w:szCs w:val="20"/>
          <w:lang w:val="en-US"/>
        </w:rPr>
        <w:t xml:space="preserve">at </w:t>
      </w:r>
      <w:r w:rsidR="00343374" w:rsidRPr="00343374">
        <w:rPr>
          <w:rFonts w:ascii="Arial" w:hAnsi="Arial" w:cs="Arial"/>
          <w:color w:val="FF0000"/>
          <w:sz w:val="18"/>
          <w:szCs w:val="20"/>
          <w:lang w:val="en-US"/>
        </w:rPr>
        <w:t xml:space="preserve">baseline) </w:t>
      </w:r>
      <w:r w:rsidR="005D5DF3" w:rsidRPr="00A90FCD">
        <w:rPr>
          <w:rFonts w:ascii="Arial" w:hAnsi="Arial" w:cs="Arial"/>
          <w:sz w:val="18"/>
          <w:szCs w:val="20"/>
          <w:lang w:val="en-US"/>
        </w:rPr>
        <w:t xml:space="preserve">by comparing the predicted risk levels among participants who developed </w:t>
      </w:r>
      <w:r w:rsidR="005D5DF3" w:rsidRPr="00A90FCD">
        <w:rPr>
          <w:rFonts w:ascii="Arial" w:hAnsi="Arial" w:cs="Arial"/>
          <w:sz w:val="18"/>
          <w:szCs w:val="20"/>
        </w:rPr>
        <w:t xml:space="preserve">a specific aging phenotype and </w:t>
      </w:r>
      <w:r w:rsidR="005D5DF3" w:rsidRPr="00A90FCD">
        <w:rPr>
          <w:rFonts w:ascii="Arial" w:hAnsi="Arial" w:cs="Arial"/>
          <w:sz w:val="18"/>
          <w:szCs w:val="20"/>
          <w:lang w:val="en-US"/>
        </w:rPr>
        <w:t>those who</w:t>
      </w:r>
      <w:r w:rsidR="005D5DF3" w:rsidRPr="00A90FCD">
        <w:rPr>
          <w:rFonts w:ascii="Arial" w:hAnsi="Arial" w:cs="Arial"/>
          <w:sz w:val="18"/>
          <w:szCs w:val="20"/>
        </w:rPr>
        <w:t xml:space="preserve"> did not. </w:t>
      </w:r>
    </w:p>
    <w:p w:rsidR="005D5DF3" w:rsidRPr="00A90FCD" w:rsidRDefault="005D5DF3" w:rsidP="00896A55">
      <w:pPr>
        <w:spacing w:after="0" w:line="240" w:lineRule="auto"/>
        <w:rPr>
          <w:rFonts w:ascii="Arial" w:hAnsi="Arial" w:cs="Arial"/>
          <w:sz w:val="20"/>
          <w:szCs w:val="20"/>
        </w:rPr>
      </w:pPr>
    </w:p>
    <w:p w:rsidR="00B7654E" w:rsidRPr="00B9057E" w:rsidRDefault="00B7654E" w:rsidP="00B7654E">
      <w:pPr>
        <w:spacing w:after="0" w:line="240" w:lineRule="auto"/>
        <w:rPr>
          <w:rFonts w:ascii="Arial" w:hAnsi="Arial" w:cs="Arial"/>
          <w:color w:val="FF0000"/>
          <w:sz w:val="20"/>
          <w:szCs w:val="20"/>
        </w:rPr>
      </w:pPr>
      <w:r w:rsidRPr="00B9057E">
        <w:rPr>
          <w:rFonts w:ascii="Arial" w:hAnsi="Arial" w:cs="Arial"/>
          <w:b/>
          <w:color w:val="FF0000"/>
          <w:sz w:val="20"/>
          <w:szCs w:val="20"/>
        </w:rPr>
        <w:lastRenderedPageBreak/>
        <w:t>References</w:t>
      </w:r>
    </w:p>
    <w:p w:rsidR="00B7654E" w:rsidRPr="00B9057E" w:rsidRDefault="00B7654E" w:rsidP="00B7654E">
      <w:pPr>
        <w:spacing w:after="0" w:line="240" w:lineRule="auto"/>
        <w:ind w:left="720" w:hanging="720"/>
        <w:rPr>
          <w:rFonts w:cs="Arial"/>
          <w:noProof/>
          <w:color w:val="FF0000"/>
          <w:szCs w:val="20"/>
        </w:rPr>
      </w:pPr>
      <w:r w:rsidRPr="00B9057E">
        <w:rPr>
          <w:rFonts w:cs="Arial"/>
          <w:noProof/>
          <w:color w:val="FF0000"/>
          <w:szCs w:val="20"/>
        </w:rPr>
        <w:t>1.</w:t>
      </w:r>
      <w:r w:rsidRPr="00B9057E">
        <w:rPr>
          <w:rFonts w:cs="Arial"/>
          <w:noProof/>
          <w:color w:val="FF0000"/>
          <w:szCs w:val="20"/>
        </w:rPr>
        <w:tab/>
        <w:t xml:space="preserve">Pencina, M.J., et al., </w:t>
      </w:r>
      <w:r w:rsidRPr="00B9057E">
        <w:rPr>
          <w:rFonts w:cs="Arial"/>
          <w:i/>
          <w:noProof/>
          <w:color w:val="FF0000"/>
          <w:szCs w:val="20"/>
        </w:rPr>
        <w:t>Evaluating the added predictive ability of a new marker: from area under the ROC curve to reclassification and beyond.</w:t>
      </w:r>
      <w:r w:rsidRPr="00B9057E">
        <w:rPr>
          <w:rFonts w:cs="Arial"/>
          <w:noProof/>
          <w:color w:val="FF0000"/>
          <w:szCs w:val="20"/>
        </w:rPr>
        <w:t xml:space="preserve"> Stat Med, 2008. </w:t>
      </w:r>
      <w:r w:rsidRPr="00B9057E">
        <w:rPr>
          <w:rFonts w:cs="Arial"/>
          <w:b/>
          <w:noProof/>
          <w:color w:val="FF0000"/>
          <w:szCs w:val="20"/>
        </w:rPr>
        <w:t>27</w:t>
      </w:r>
      <w:r w:rsidRPr="00B9057E">
        <w:rPr>
          <w:rFonts w:cs="Arial"/>
          <w:noProof/>
          <w:color w:val="FF0000"/>
          <w:szCs w:val="20"/>
        </w:rPr>
        <w:t>(2): p. 157-72.</w:t>
      </w:r>
    </w:p>
    <w:p w:rsidR="00B7654E" w:rsidRPr="00B9057E" w:rsidRDefault="00B7654E" w:rsidP="00B7654E">
      <w:pPr>
        <w:spacing w:after="0" w:line="240" w:lineRule="auto"/>
        <w:ind w:left="720" w:hanging="720"/>
        <w:rPr>
          <w:rFonts w:cs="Arial"/>
          <w:noProof/>
          <w:color w:val="FF0000"/>
          <w:szCs w:val="20"/>
        </w:rPr>
      </w:pPr>
      <w:r w:rsidRPr="00B9057E">
        <w:rPr>
          <w:rFonts w:cs="Arial"/>
          <w:noProof/>
          <w:color w:val="FF0000"/>
          <w:szCs w:val="20"/>
        </w:rPr>
        <w:t>2.</w:t>
      </w:r>
      <w:r w:rsidRPr="00B9057E">
        <w:rPr>
          <w:rFonts w:cs="Arial"/>
          <w:noProof/>
          <w:color w:val="FF0000"/>
          <w:szCs w:val="20"/>
        </w:rPr>
        <w:tab/>
        <w:t xml:space="preserve">Pencina, M.J., R.B. D'Agostino, Sr., and E.W. Steyerberg, </w:t>
      </w:r>
      <w:r w:rsidRPr="00B9057E">
        <w:rPr>
          <w:rFonts w:cs="Arial"/>
          <w:i/>
          <w:noProof/>
          <w:color w:val="FF0000"/>
          <w:szCs w:val="20"/>
        </w:rPr>
        <w:t>Extensions of net reclassification improvement calculations to measure usefulness of new biomarkers.</w:t>
      </w:r>
      <w:r w:rsidRPr="00B9057E">
        <w:rPr>
          <w:rFonts w:cs="Arial"/>
          <w:noProof/>
          <w:color w:val="FF0000"/>
          <w:szCs w:val="20"/>
        </w:rPr>
        <w:t xml:space="preserve"> Stat Med, 2011. </w:t>
      </w:r>
      <w:r w:rsidRPr="00B9057E">
        <w:rPr>
          <w:rFonts w:cs="Arial"/>
          <w:b/>
          <w:noProof/>
          <w:color w:val="FF0000"/>
          <w:szCs w:val="20"/>
        </w:rPr>
        <w:t>30</w:t>
      </w:r>
      <w:r w:rsidRPr="00B9057E">
        <w:rPr>
          <w:rFonts w:cs="Arial"/>
          <w:noProof/>
          <w:color w:val="FF0000"/>
          <w:szCs w:val="20"/>
        </w:rPr>
        <w:t>(1): p. 11-21.</w:t>
      </w:r>
    </w:p>
    <w:p w:rsidR="005D5DF3" w:rsidRPr="00A90FCD" w:rsidRDefault="005D5DF3" w:rsidP="00896A55">
      <w:pPr>
        <w:tabs>
          <w:tab w:val="left" w:pos="993"/>
        </w:tabs>
        <w:spacing w:after="0" w:line="240" w:lineRule="auto"/>
        <w:rPr>
          <w:rFonts w:ascii="Arial" w:hAnsi="Arial" w:cs="Arial"/>
          <w:sz w:val="20"/>
          <w:szCs w:val="20"/>
        </w:rPr>
        <w:sectPr w:rsidR="005D5DF3" w:rsidRPr="00A90FCD" w:rsidSect="00896A55">
          <w:pgSz w:w="16838" w:h="11906" w:orient="landscape"/>
          <w:pgMar w:top="1417" w:right="1417" w:bottom="1417" w:left="1417" w:header="708" w:footer="708" w:gutter="0"/>
          <w:cols w:space="708"/>
          <w:docGrid w:linePitch="360"/>
        </w:sectPr>
      </w:pPr>
    </w:p>
    <w:p w:rsidR="005D5DF3" w:rsidRPr="00A90FCD" w:rsidRDefault="005D5DF3" w:rsidP="00896A55">
      <w:pPr>
        <w:spacing w:after="0" w:line="240" w:lineRule="auto"/>
        <w:ind w:left="720" w:hanging="720"/>
        <w:rPr>
          <w:rFonts w:cs="Arial"/>
          <w:noProof/>
          <w:szCs w:val="20"/>
        </w:rPr>
      </w:pPr>
    </w:p>
    <w:p w:rsidR="005D5DF3" w:rsidRPr="00A90FCD" w:rsidRDefault="005D5DF3" w:rsidP="00896A55">
      <w:pPr>
        <w:spacing w:after="0" w:line="240" w:lineRule="auto"/>
        <w:ind w:left="720" w:hanging="720"/>
        <w:rPr>
          <w:rFonts w:cs="Arial"/>
          <w:noProof/>
          <w:szCs w:val="20"/>
        </w:rPr>
      </w:pPr>
    </w:p>
    <w:p w:rsidR="005D5DF3" w:rsidRPr="00A90FCD" w:rsidRDefault="005D5DF3" w:rsidP="00896A55">
      <w:pPr>
        <w:tabs>
          <w:tab w:val="left" w:pos="993"/>
        </w:tabs>
        <w:spacing w:after="0" w:line="240" w:lineRule="auto"/>
        <w:rPr>
          <w:rFonts w:ascii="Arial" w:hAnsi="Arial" w:cs="Arial"/>
          <w:sz w:val="20"/>
          <w:szCs w:val="20"/>
        </w:rPr>
      </w:pPr>
    </w:p>
    <w:p w:rsidR="00CB5454" w:rsidRPr="00A90FCD" w:rsidRDefault="00CB5454"/>
    <w:sectPr w:rsidR="00CB5454" w:rsidRPr="00A90FCD" w:rsidSect="00896A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711E"/>
    <w:multiLevelType w:val="hybridMultilevel"/>
    <w:tmpl w:val="C1D6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EN.InstantFormat" w:val="&lt;ENInstantFormat&gt;&lt;Enabled&gt;0&lt;/Enabled&gt;&lt;ScanUnformatted&gt;1&lt;/ScanUnformatted&gt;&lt;ScanChanges&gt;1&lt;/ScanChanges&gt;&lt;/ENInstantFormat&gt;"/>
  </w:docVars>
  <w:rsids>
    <w:rsidRoot w:val="005D5DF3"/>
    <w:rsid w:val="001A1632"/>
    <w:rsid w:val="002A0F98"/>
    <w:rsid w:val="002D4438"/>
    <w:rsid w:val="003126E1"/>
    <w:rsid w:val="00343374"/>
    <w:rsid w:val="005811F2"/>
    <w:rsid w:val="0059054F"/>
    <w:rsid w:val="005C3CFB"/>
    <w:rsid w:val="005D5DF3"/>
    <w:rsid w:val="00635648"/>
    <w:rsid w:val="006D55A8"/>
    <w:rsid w:val="00896A55"/>
    <w:rsid w:val="00901181"/>
    <w:rsid w:val="009B1F37"/>
    <w:rsid w:val="009F749F"/>
    <w:rsid w:val="00A77EC4"/>
    <w:rsid w:val="00A90FCD"/>
    <w:rsid w:val="00AD7F58"/>
    <w:rsid w:val="00AE66F5"/>
    <w:rsid w:val="00B7654E"/>
    <w:rsid w:val="00B879C1"/>
    <w:rsid w:val="00B9057E"/>
    <w:rsid w:val="00C23C75"/>
    <w:rsid w:val="00CB5454"/>
    <w:rsid w:val="00CE4D76"/>
    <w:rsid w:val="00D013BB"/>
    <w:rsid w:val="00DA355E"/>
    <w:rsid w:val="00F15430"/>
    <w:rsid w:val="00F17232"/>
    <w:rsid w:val="00F608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F3"/>
    <w:rPr>
      <w:rFonts w:ascii="Calibri" w:eastAsia="Times New Roman" w:hAnsi="Calibri" w:cs="Calibri"/>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5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DF3"/>
    <w:rPr>
      <w:rFonts w:ascii="Tahoma" w:eastAsia="Times New Roman" w:hAnsi="Tahoma" w:cs="Tahoma"/>
      <w:sz w:val="16"/>
      <w:szCs w:val="16"/>
      <w:lang w:val="en-GB"/>
    </w:rPr>
  </w:style>
  <w:style w:type="paragraph" w:styleId="Paragraphedeliste">
    <w:name w:val="List Paragraph"/>
    <w:basedOn w:val="Normal"/>
    <w:uiPriority w:val="34"/>
    <w:qFormat/>
    <w:rsid w:val="005D5DF3"/>
    <w:pPr>
      <w:ind w:left="720"/>
      <w:contextualSpacing/>
    </w:pPr>
  </w:style>
  <w:style w:type="paragraph" w:styleId="NormalWeb">
    <w:name w:val="Normal (Web)"/>
    <w:basedOn w:val="Normal"/>
    <w:uiPriority w:val="99"/>
    <w:rsid w:val="005D5DF3"/>
    <w:pPr>
      <w:spacing w:before="100" w:beforeAutospacing="1" w:after="100" w:afterAutospacing="1" w:line="240" w:lineRule="auto"/>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F3"/>
    <w:rPr>
      <w:rFonts w:ascii="Calibri" w:eastAsia="Times New Roman"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DF3"/>
    <w:rPr>
      <w:rFonts w:ascii="Tahoma" w:eastAsia="Times New Roman" w:hAnsi="Tahoma" w:cs="Tahoma"/>
      <w:sz w:val="16"/>
      <w:szCs w:val="16"/>
      <w:lang w:val="en-GB"/>
    </w:rPr>
  </w:style>
  <w:style w:type="paragraph" w:styleId="ListParagraph">
    <w:name w:val="List Paragraph"/>
    <w:basedOn w:val="Normal"/>
    <w:uiPriority w:val="34"/>
    <w:qFormat/>
    <w:rsid w:val="005D5DF3"/>
    <w:pPr>
      <w:ind w:left="720"/>
      <w:contextualSpacing/>
    </w:pPr>
  </w:style>
  <w:style w:type="paragraph" w:styleId="NormalWeb">
    <w:name w:val="Normal (Web)"/>
    <w:basedOn w:val="Normal"/>
    <w:uiPriority w:val="99"/>
    <w:rsid w:val="005D5DF3"/>
    <w:pPr>
      <w:spacing w:before="100" w:beforeAutospacing="1" w:after="100" w:afterAutospacing="1" w:line="240" w:lineRule="auto"/>
    </w:pPr>
    <w:rPr>
      <w:rFonts w:ascii="Times New Roman" w:eastAsia="Calibr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Akbaraly</dc:creator>
  <cp:lastModifiedBy>villebrun</cp:lastModifiedBy>
  <cp:revision>3</cp:revision>
  <dcterms:created xsi:type="dcterms:W3CDTF">2013-06-26T13:17:00Z</dcterms:created>
  <dcterms:modified xsi:type="dcterms:W3CDTF">2013-11-07T10:54:00Z</dcterms:modified>
</cp:coreProperties>
</file>